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61046-2023 i Laxå kommun</w:t>
      </w:r>
    </w:p>
    <w:p>
      <w:r>
        <w:t>Detta klagomål behandlar höga naturvärden i avverkningsanmälan A 61046-2023 i Laxå kommun som inkom 2023-12-01 och omfattar 1,1 ha.</w:t>
      </w:r>
    </w:p>
    <w:p>
      <w:pPr>
        <w:pStyle w:val="Caption"/>
      </w:pPr>
      <w:r>
        <w:drawing>
          <wp:inline xmlns:a="http://schemas.openxmlformats.org/drawingml/2006/main" xmlns:pic="http://schemas.openxmlformats.org/drawingml/2006/picture">
            <wp:extent cx="5486400" cy="5220564"/>
            <wp:docPr id="1" name="Picture 1"/>
            <wp:cNvGraphicFramePr>
              <a:graphicFrameLocks noChangeAspect="1"/>
            </wp:cNvGraphicFramePr>
            <a:graphic>
              <a:graphicData uri="http://schemas.openxmlformats.org/drawingml/2006/picture">
                <pic:pic>
                  <pic:nvPicPr>
                    <pic:cNvPr id="0" name="A 61046-2023 karta.png"/>
                    <pic:cNvPicPr/>
                  </pic:nvPicPr>
                  <pic:blipFill>
                    <a:blip r:embed="rId16"/>
                    <a:stretch>
                      <a:fillRect/>
                    </a:stretch>
                  </pic:blipFill>
                  <pic:spPr>
                    <a:xfrm>
                      <a:off x="0" y="0"/>
                      <a:ext cx="5486400" cy="52205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6544986, E 474567 i SWEREF 99 TM.</w:t>
      </w:r>
    </w:p>
    <w:p>
      <w:r>
        <w:t>I avverkningsanmälan finns fynd av 2 naturvårdsarter, varav 2 är typiska (T): brudborste (T) och hultbräken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Hultbräken </w:t>
      </w:r>
      <w:r>
        <w:t xml:space="preserve">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