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1909-2022 i Laxå kommun</w:t>
      </w:r>
    </w:p>
    <w:p>
      <w:r>
        <w:t>Denna tillsynsbegäran behandlar höga naturvärden i samrådsanmälan S 1909-2022 i Laxå kommun som inkom 2022-04-11 och omfattar 1887,5 ha.</w:t>
      </w:r>
    </w:p>
    <w:p>
      <w:pPr>
        <w:pStyle w:val="Caption"/>
      </w:pPr>
      <w:r>
        <w:drawing>
          <wp:inline xmlns:a="http://schemas.openxmlformats.org/drawingml/2006/main" xmlns:pic="http://schemas.openxmlformats.org/drawingml/2006/picture">
            <wp:extent cx="5486400" cy="3779201"/>
            <wp:docPr id="1" name="Picture 1"/>
            <wp:cNvGraphicFramePr>
              <a:graphicFrameLocks noChangeAspect="1"/>
            </wp:cNvGraphicFramePr>
            <a:graphic>
              <a:graphicData uri="http://schemas.openxmlformats.org/drawingml/2006/picture">
                <pic:pic>
                  <pic:nvPicPr>
                    <pic:cNvPr id="0" name="S 1909-2022 karta.png"/>
                    <pic:cNvPicPr/>
                  </pic:nvPicPr>
                  <pic:blipFill>
                    <a:blip r:embed="rId16"/>
                    <a:stretch>
                      <a:fillRect/>
                    </a:stretch>
                  </pic:blipFill>
                  <pic:spPr>
                    <a:xfrm>
                      <a:off x="0" y="0"/>
                      <a:ext cx="5486400" cy="3779201"/>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6546356, E 474070 i SWEREF 99 TM.</w:t>
      </w:r>
    </w:p>
    <w:p>
      <w:r>
        <w:t>I och inom 25 meter från samrådsanmälan finns fynd av 70 naturvårdsarter, varav 29 är rödlistade, 34 är fridlysta, 35 är typiska (T) och 21 är signalarter (S): pärluggla (EN, T, §4), sammetstaggsvamp (EN), skogsalm (EN), violgubbe (EN), gul taggsvamp (VU, T), björktrast (NT, §4), brunlångöra (NT, §4a), dofttaggsvamp (NT, T), dropptaggsvamp (NT, T), duvhök (NT, §4), entita (NT, T, §4), fjällig taggsvamp s.str. (NT), gullklöver (NT), jungfrulin (NT), järnsparv (NT, §4), kattfotslav (NT, T), kricka (NT, §4), kungsörn (NT, §4), mindre hackspett (NT, T, §4), motaggsvamp (NT, T), nordfladdermus (NT, §4a), orange taggsvamp (NT, T), skogsklocka (NT), sparvuggla (NT, §4), svartvit taggsvamp (NT), talltita (NT, §4), tretåig hackspett (NT, T, §4), vedtrappmossa (NT, T), vitfläckig guldvinge (NT), björksplintborre (S), blåmossa (S, T), brandticka (S), bronshjon (S, T), flagellkvastmossa (S, T), grov fjädermossa (S, T), grovticka (S, T), grön sköldmossa (S, T, §8), grönpyrola (S, T), klippfrullania (S, T), kornknutmossa (S, T), mindre märgborre (S, T), mörk husmossa (S, T), platt fjädermossa (S, T), stor revmossa (S), svart trolldruva (S, T), thomsons trägnagare (S), tibast (S, T), underviol (S, T), vedticka (S, T), vågbandad barkbock (S), blåsippa (T, §9), hårklomossa (T, §8), järpe (T, §4), mattlummer (T, §9), nattskärra (T, §4), spillkråka (T, §4), tjäder (T, §4), tofsmes (T, §4), dvärgpipistrell (§4a), havsörn (§4), kungsfågel (§4), orre (§4), smålom (§4), sångsvan (§4), vattenfladdermus (§4a), mindre vattensalamander (§6), vanlig groda (§6), fläcknycklar (§8), revlummer (§9) och äkta lopplummer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Pärluggla (EN, §4)</w:t>
      </w:r>
      <w:r>
        <w:t xml:space="preserve"> är en starkt hotad art som omfattas av bilaga 1 EU:s fågeldirektiv. Beståndet har gradvis minskat sedan början av 1980-talet och efter 2010 tyder data från Svensk Fågeltaxering på att beståndet i det närmaste helt kraschat. Minskningstakten har uppgått till 60 (40–80) % under de senaste 15 åren. Pärlugglan är beroende av äldre, varierad skog med goda jaktmöjligheter och god tillgång på lämpliga trädhål som boplatser. Hemområdet är i storleksordningen 200–500 hektar, men storleken varierar kraftigt beroende på hur mycket föda det finns. 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Pärluggla är typisk art för </w:t>
      </w:r>
      <w:r>
        <w:rPr>
          <w:i/>
        </w:rPr>
        <w:t>9010 Västlig taiga</w:t>
      </w:r>
      <w:r>
        <w:t xml:space="preserve"> (SLU Artdatabanken, 2026; Skogsstyrelsen, 2016).</w:t>
      </w:r>
    </w:p>
    <w:p>
      <w:r>
        <w:rPr>
          <w:b/>
        </w:rPr>
        <w:t xml:space="preserve">Sammetstaggsvamp (EN) </w:t>
      </w:r>
      <w:r>
        <w:t>är en starkt hotad art som</w:t>
      </w:r>
      <w:r>
        <w:rPr>
          <w:b/>
        </w:rPr>
        <w:t xml:space="preserve"> </w:t>
      </w:r>
      <w:r>
        <w:t>bildar mykorrhiza med gran, i örtrik kalkgranskog eller annan bördig granskog av lågörtstyp. Arten ingår i ett åtgärdsprogram för hotade arter (ÅGP) och samtliga växtplatser måste undantas från storskaligt skogsbruk. Lokalerna bör bevakas, följas upp och skyddas formellt. För att på lång sikt öka artens möjligheter att överleva måste fler, äldre barrskogspartier på kalkrik mark skyddas. Sammetstaggsvamp är globalt rödlistad som sårbar (VU) och Sverige hyser sannolikt en stor andel av svampens hela europeiska population, vilket medför ett särskilt stort nationellt och internationellt ansvar för artens bevarande (IUCN, 2025; SLU Artdatabanken, 2026; Nitare &amp; Skogsstyrelsen, 2019; Nitare, 2006).</w:t>
      </w:r>
    </w:p>
    <w:p>
      <w:r>
        <w:rPr>
          <w:b/>
        </w:rPr>
        <w:t>Violgubbe (EN)</w:t>
      </w:r>
      <w:r>
        <w:t xml:space="preserve"> är en starkt hotad art som bildar mykorrhiza med gran och bok och ev. andra trädslag i äldre ängsgran- och ängsbokskog med lång kontinuitet, främst på kalkrik mark. Arten är placerad högst upp i Skogsstyrelsens värdepyramid för bedömning av skog med höga naturvärden och indikerar alltid skogsområden med höga naturvärden. Det största hotet mot arten är skogsavverkning och den omfattas av ett åtgärdsprogram för hotade arter (ÅGP). Violgubben överlever inte en slutavverkning och verkar dessutom ha svårt att etablera sig i yngre skogsbestånd (SLU Artdatabanken, 2026; Nitare &amp; Skogsstyrelsen, 2019; Aronsson, 2006).</w:t>
      </w:r>
    </w:p>
    <w:p>
      <w:r>
        <w:rPr>
          <w:b/>
        </w:rPr>
        <w:t xml:space="preserve">Gul taggsvamp (VU) </w:t>
      </w:r>
      <w:r>
        <w:t xml:space="preserve">bildar mykorrhiza med gran i äldre barrskog med lång kontinuitet. Förekommer på kalkrik eller annan basiskt påverkad mark, ofta i källpåverkade miljöer. Den totala populationen i landet har minskat kraftigt och bedöms fortsätta minska till följd av avverkning av äldre barrskog med lång trädkontinuitet. Minskningstakten överstiger gränsvärdet för sårbar (VU). Arten tål inte en slutavverkning utan kräver ett kontinuerligt äldre trädskikt med gran. Slutavverkning, kraftig gallring och skogsmarksgödsling måste helt undvikas och lokalerna bör skyddas formellt. Gul taggsvamp är typisk art för </w:t>
      </w:r>
      <w:r>
        <w:rPr>
          <w:i/>
        </w:rPr>
        <w:t>9050 Näringsrik granskog</w:t>
      </w:r>
      <w:r>
        <w:t xml:space="preserve"> (SLU Artdatabanken, 2026).</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Kungsörn (NT, §4)</w:t>
      </w:r>
      <w:r>
        <w:t xml:space="preserve"> är rödlistad som nära hotad och upptagen i bilaga 1 EU:s fågeldirektiv. 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andra störande verksamheter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 xml:space="preserve">Grov fjädermossa </w:t>
      </w:r>
      <w:r>
        <w:t xml:space="preserve">påträffas i gammal ädellövskog och på kalkrika bergväggar i äldre barrskog. Arten är placerad högst upp i Skogsstyrelsens värdepyramid för bedömning av skog med höga naturvärden och visar på lokaler som haft lång trädkontinuitet och stabilt mikroklimat. Grov fjädermossa är typisk art för </w:t>
      </w:r>
      <w:r>
        <w:rPr>
          <w:i/>
        </w:rPr>
        <w:t>9020 Nordlig ädellövskog, 9110 Näringsfattig bokskog, 9130 Näringsrik bokskog, 9160 Näringsrik ekskog, 9180 Ädellövskog i branter</w:t>
      </w:r>
      <w:r>
        <w:t xml:space="preserve"> och </w:t>
      </w:r>
      <w:r>
        <w:rPr>
          <w:i/>
        </w:rPr>
        <w:t>9190 Näringsfattig ekskog</w:t>
      </w:r>
      <w:r>
        <w:t xml:space="preserve"> (Nitare &amp; Skogsstyrelsen, 2019; SLU Artdatabanken, 2025).</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Kornknutmossa är typisk art för </w:t>
      </w:r>
      <w:r>
        <w:rPr>
          <w:i/>
        </w:rPr>
        <w:t xml:space="preserve">9010 Taiga </w:t>
      </w:r>
      <w:r>
        <w:t>och</w:t>
      </w:r>
      <w:r>
        <w:rPr>
          <w:i/>
        </w:rPr>
        <w:t xml:space="preserve"> 9740 Skogsbevuxen myr</w:t>
      </w:r>
      <w:r>
        <w:t xml:space="preserve"> (SLU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Hårklomossa (§8)</w:t>
      </w:r>
      <w:r>
        <w:t xml:space="preserve"> omfattas av EU:s art- och habitatdirektiv vilket innebär att det finns ett uttalat intresse inom Europeiska unionen att bevara arten. Hårklomossa växer på stenblock, trädbaser och basen av buskar och är knuten till zoner intill vattendrag och sjöar med stor vattenståndsamplitud som översvämmas och dränks i princip varje år (Hedenäs m.fl. 1996, Hylander 1998). Arten växer ibland på block i sänkor som periodvis torkar ut. Substraten skall helst vara något skuggade, men arten trivs inte om kärlväxttäcket blir för tätt. Arten hotas framför allt av förändringar i vattenståndsregim och vattenkvalitet. På lokaler med små populationer kan en alltför kraftig utglesning av träd- och/eller buskskikt längs stränderna utgöra ett hot. Hårklomossa är typisk art för </w:t>
      </w:r>
      <w:r>
        <w:rPr>
          <w:i/>
        </w:rPr>
        <w:t xml:space="preserve">9080 Lövsumpskog, 9750 Svämlövskog </w:t>
      </w:r>
      <w:r>
        <w:t>och</w:t>
      </w:r>
      <w:r>
        <w:rPr>
          <w:i/>
        </w:rPr>
        <w:t xml:space="preserve"> 9760 Svämädellövskog</w:t>
      </w:r>
      <w:r>
        <w:t xml:space="preserve"> (SLU Artdatabanken, 2021).</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Mattlummer (§9)</w:t>
      </w:r>
      <w:r>
        <w:t xml:space="preserve"> är typisk art för </w:t>
      </w:r>
      <w:r>
        <w:rPr>
          <w:i/>
        </w:rPr>
        <w:t xml:space="preserve">9010 Taiga </w:t>
      </w:r>
      <w:r>
        <w:t>(SLU Artdatabanken, 2025).</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Tofsmes (§4)</w:t>
      </w:r>
      <w:r>
        <w:t xml:space="preserve"> häckar i barr- och blandskog, främst i tallskog. Tofsmes är typisk art för </w:t>
      </w:r>
      <w:r>
        <w:rPr>
          <w:i/>
        </w:rPr>
        <w:t xml:space="preserve">9010 Taiga </w:t>
      </w:r>
      <w:r>
        <w:t>(SLU Artdatabanken, 2025).</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pärluggla (EN, T, §4), gul taggsvamp (VU, T), dofttaggsvamp (NT, T), dropptaggsvamp (NT, T), entita (NT, T, §4), kattfotslav (NT, T), mindre hackspett (NT, T, §4), motaggsvamp (NT, T), orange taggsvamp (NT, T), tretåig hackspett (NT, T, §4), vedtrappmossa (NT, T), blåmossa (S, T), bronshjon (S, T), flagellkvastmossa (S, T), grov fjädermossa (S, T), grovticka (S, T), grön sköldmossa (S, T, §8), grönpyrola (S, T), klippfrullania (S, T), kornknutmossa (S, T), mindre märgborre (S, T), mörk husmossa (S, T), platt fjädermossa (S, T), svart trolldruva (S, T), tibast (S, T), underviol (S, T), vedticka (S, T), blåsippa (T, §9), hårklomossa (T, §8), järpe (T, §4), mattlummer (T, §9), nattskärra (T, §4), spillkråka (T, §4), tjäder (T, §4) och tofsmes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Pärluggla – ekologi samt krav på livsmiljön</w:t>
      </w:r>
    </w:p>
    <w:p>
      <w:r>
        <w:t xml:space="preserve">Pärluggla (EN, §4) är en starkt hotad art som är typisk art för </w:t>
      </w:r>
      <w:r>
        <w:rPr>
          <w:i/>
        </w:rPr>
        <w:t>9010 Västlig taiga</w:t>
      </w:r>
      <w:r>
        <w:t xml:space="preserve"> och omfattas av bilaga 1 EU:s fågeldirektiv. Beståndet har gradvis minskat sedan början av 1980-talet och efter 2010 tyder data från Svensk Fågeltaxering på att beståndet i det närmaste helt kraschat. Minskningstakten har uppgått till 60 (40–80) % under de senaste 15 åren och överstiger gränsvärdet för starkt hotad (EN) (SLU Artdatabanken, 2026).</w:t>
      </w:r>
    </w:p>
    <w:p>
      <w:r>
        <w:t>Pärlugglan är beroende av äldre, varierad skog med goda jaktmöjligheter och god tillgång på lämpliga trädhål som boplatser. Den förekommer med störst täthet i äldre granskog, med inslag av gamla lövträd och luckor och öppningar i form av mindre hyggen, jordbruksmark och liknande. Den häckar även frekvent i barr- och lövblandskogar av tall, björk och asp, där förutsättningarna att finna boplatser är störst. I sydligaste Sverige häckar den ofta i gamla bokbackar, men den är mycket sällsynt i ren bokskog. Hemområdet är i storleksordningen 200–500 hektar, men storleken varierar kraftigt beroende på hur mycket föda det finns. Under dåliga gnagarår kan pärlugglan jaga upp till 4 km från boet medan den under bra år ofta håller sig inom 1 km (SLU Artdatabanken, 2026).</w:t>
      </w:r>
    </w:p>
    <w:p>
      <w:r>
        <w:t>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(Skogsstyrelsen, 2016).</w:t>
      </w:r>
    </w:p>
    <w:p>
      <w:pPr>
        <w:pStyle w:val="Heading2"/>
      </w:pPr>
      <w:r>
        <w:t>Referenser – pärluggla</w:t>
      </w:r>
    </w:p>
    <w:p>
      <w:r>
        <w:t xml:space="preserve">SLU Artdatabanken, 2026. </w:t>
      </w:r>
      <w:r>
        <w:rPr>
          <w:i/>
        </w:rPr>
        <w:t xml:space="preserve">Artfaktablad. Naturvård – artfakta. </w:t>
      </w:r>
      <w:r>
        <w:t>SLU Artdatabanken, Uppsala.</w:t>
      </w:r>
    </w:p>
    <w:p>
      <w:r>
        <w:t xml:space="preserve">Skogsstyrelsen, 2016. </w:t>
      </w:r>
      <w:r>
        <w:rPr>
          <w:i/>
        </w:rPr>
        <w:t>Vägledning för hänsyn till pärluggla.</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Kungsörn – ekologi samt krav på livsmiljön</w:t>
      </w:r>
    </w:p>
    <w:p>
      <w:r>
        <w:t>Kungsörn är rödlistad som nära hotad (NT) och fridlyst enligt 4§ Artskyddsförordningen samt upptagen i bilaga 1 EU:s fågeldirektiv. Kungsörnen häckar i skogs- och fjällområden där den bygger stora risbon i grova träd eller på klipphyllor. Risboet är ca 1,5 m i diameter och i extremfall upp till 5 m högt, vanligtvis beläget i en kraftig tall eller i ett klippstup, ofta med utsikt över terrängen. Varje par har ofta flera alternativa boplatser inom sitt revir och dessa kan ligga åtskilliga kilometer från varandra (upp till 6,5 km konstaterat i Norge). Bon i träd placeras oftast på 2/3 höjd, mera sällan i eller nära toppen (SLU Artdatabanken, 2024).</w:t>
      </w:r>
    </w:p>
    <w:p>
      <w:r>
        <w:t>I marker med medelgod bytestillgång är avståndet mellan etablerade par under naturliga förhållanden i genomsnitt cirka 10 km. I områden med gott om byten, som t.ex. i Skåne och Gotland men lokalt även i Norrland, kan avstånden vara betydligt kortare. Till exempel på Gotland har samtidiga häckningar skett i bon belägna endast lite drygt tre kilometer från varandra. I fattiga norrlandsskogar är medelavståndet mellan paren drygt 15 km. (SLU Artdatabanken, 2024).</w:t>
      </w:r>
    </w:p>
    <w:p>
      <w:r>
        <w:t>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annan störande berksamhet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t>Kungsörnen har på lång sikt en något osäker framtid på grund av den genomhuggning och kalavverkning av äldre, urskogsartade bestånd som fortfarande sker långt upp mot fjällområdena. Därvid kan brist på lämpliga boträd uppstå, likaså försämrad bytestillgång. Boträden, tallar i minst 95 % av fallen, bör vara kraftiga och i Norrland helst minst 200 år gamla. Medelåldern på 97 friska träd var 311 år vid en studie i Norrland 1975–1980. På Gotland har medelåldern på boträden konstaterats vara 145 år. Den gammelskog som i dagens läge finns kvar i Norrland hittas framför allt i svåravverkade, branta sluttningar i anslutning till berg, på blockrika berg, i eller i anslutning till raviner och sprickdalar eller på myrholmar. Eftersom ungefär halva den svenska kungsörnsstammen är beroende av lämpliga boträd skulle en mer omfattande avverkning i ovan nämnda terrängtyper troligen vara starkt negativ för artens fortbestånd. (SLU Artdatabanken, 2024).</w:t>
      </w:r>
    </w:p>
    <w:p>
      <w:pPr>
        <w:pStyle w:val="Heading2"/>
      </w:pPr>
      <w:r>
        <w:t>Referenser – kungsörn</w:t>
      </w:r>
    </w:p>
    <w:p>
      <w:r>
        <w:t xml:space="preserve">Skogsstyrelsen, 2016. </w:t>
      </w:r>
      <w:r>
        <w:rPr>
          <w:i/>
        </w:rPr>
        <w:t xml:space="preserve">Vägledning för hänsyn till kungsörn. </w:t>
      </w:r>
      <w:r>
        <w:t>Vägledningar och kunskapsstöd artskydd – Skogsstyrelsen</w:t>
      </w:r>
    </w:p>
    <w:p>
      <w:r>
        <w:t xml:space="preserve">SLU Artdatabanken, 2024.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