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samrådsanmälan S 3853-2024 i Laxå kommun</w:t>
      </w:r>
    </w:p>
    <w:p>
      <w:r>
        <w:t>Detta klagomål behandlar höga naturvärden i samrådsanmälan S 3853-2024 i Laxå kommun som inkom 2024-09-24 och omfattar 755,7 ha.</w:t>
      </w:r>
    </w:p>
    <w:p>
      <w:pPr>
        <w:pStyle w:val="Caption"/>
      </w:pPr>
      <w:r>
        <w:drawing>
          <wp:inline xmlns:a="http://schemas.openxmlformats.org/drawingml/2006/main" xmlns:pic="http://schemas.openxmlformats.org/drawingml/2006/picture">
            <wp:extent cx="5486400" cy="4583814"/>
            <wp:docPr id="1" name="Picture 1"/>
            <wp:cNvGraphicFramePr>
              <a:graphicFrameLocks noChangeAspect="1"/>
            </wp:cNvGraphicFramePr>
            <a:graphic>
              <a:graphicData uri="http://schemas.openxmlformats.org/drawingml/2006/picture">
                <pic:pic>
                  <pic:nvPicPr>
                    <pic:cNvPr id="0" name="S 3853-2024 karta.png"/>
                    <pic:cNvPicPr/>
                  </pic:nvPicPr>
                  <pic:blipFill>
                    <a:blip r:embed="rId16"/>
                    <a:stretch>
                      <a:fillRect/>
                    </a:stretch>
                  </pic:blipFill>
                  <pic:spPr>
                    <a:xfrm>
                      <a:off x="0" y="0"/>
                      <a:ext cx="5486400" cy="4583814"/>
                    </a:xfrm>
                    <a:prstGeom prst="rect"/>
                  </pic:spPr>
                </pic:pic>
              </a:graphicData>
            </a:graphic>
          </wp:inline>
        </w:drawing>
      </w:r>
    </w:p>
    <w:p>
      <w:pPr>
        <w:pStyle w:val="Caption"/>
        <w:spacing w:after="240"/>
      </w:pPr>
      <w:r>
        <w:t>Figur 1. Fyndplatser för naturvårdsarter i och inom 25 meter från samrådsanmälan. Markörer utan svart kant är placerade på fyndplatsen. Markörer med svart kant är placerade vid sidan av fyndplatsen och har ett svart streck som visar fyndplatsens exakta position. Kartans mittpunktskoordinat är N 6523209, E 475392 i SWEREF 99 TM.</w:t>
      </w:r>
    </w:p>
    <w:p>
      <w:r>
        <w:t>I och inom 25 meter från samrådsanmälan finns fynd av 20 naturvårdsarter, varav 7 är rödlistade, 10 är fridlysta, 12 är typiska (T) och 5 är signalarter (S): garnlav (VU, T), motaggsvamp (NT, T), nötkråka (NT, T, §4), skarp dropptaggsvamp (NT), skogshare (NT), tallticka (NT, T), talltita (NT, §4), blåmossa (S, T), flagellkvastmossa (S, T), nästlav (S, T), tibast (S, T), vågbandad barkbock (S), järpe (T, §4), spillkråka (T, §4), tjäder (T, §4), tofsmes (T, §4), orre (§4), vanlig groda (§6), blodnycklar × fläcknycklar (§8) och fläcknycklar (§8).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samrådsanmälda skogen. Se även ytterligare artfakta i BILAGA 1. De påträffade naturvårdsarterna är ett tydligt kvitto på att det rör sig om en skog med höga naturvärden.</w:t>
      </w:r>
    </w:p>
    <w:p>
      <w:r>
        <w:rPr>
          <w:b/>
        </w:rPr>
        <w:t>Garnlav (VU)</w:t>
      </w:r>
      <w:r>
        <w:t xml:space="preserve"> är en utpräglad barrskogsart som ibland kan drapera träden i norrländska grannaturskogar med hög luftfuktighet. Den förekommer även i talldominerade bestånd där den, förutom i trädens grenverk, påträffas hängande över ojämnheter i tallbarken. Arten har minskat starkt i södra och mellersta Sverige och den minskar även i sitt nordliga utbredningsområde. Minskningstakten uppgår till 30 (20–50) % inom 50 år och överstiger gränsvärdet för Sårbar (VU). Orsaken till tillbakagången beror främst på slutavverkningar av naturskogsartade skogar. Bestånd med riklig förekomst bör regelmässigt sparas, vilket även gynnar flera andra sällsynta och rödlistade arter. Garnlav är värdväxt för den mycket sällsynta och akut hotade fjärilen barrskogslavfly (CR) som hör hemma i boreala barrskogar med riklig förekomst av värdväxten. Tidigare kunde arten konstateras årligen på flera platser vid Dala-Floda i Dalarna innan lokalerna kalavverkades. Senaste fyndet i landet av barrskogslavfly är från år 2000 då den påträffades vid Högberget i Sollefteå kommun. Garnlav är typisk art för </w:t>
      </w:r>
      <w:r>
        <w:rPr>
          <w:i/>
        </w:rPr>
        <w:t xml:space="preserve">9010 Taiga </w:t>
      </w:r>
      <w:r>
        <w:t>och</w:t>
      </w:r>
      <w:r>
        <w:rPr>
          <w:i/>
        </w:rPr>
        <w:t xml:space="preserve"> 9070 Trädklädd betesmark</w:t>
      </w:r>
      <w:r>
        <w:t xml:space="preserve"> (SLU Artdatabanken, 2026).</w:t>
      </w:r>
    </w:p>
    <w:p>
      <w:r>
        <w:rPr>
          <w:b/>
        </w:rPr>
        <w:t xml:space="preserve">Motaggsvamp (NT) </w:t>
      </w:r>
      <w:r>
        <w:t xml:space="preserve">bildar mykorrhiza med tall i tallskog och hittas huvudsakligen i äldre, glesare skogsbestånd och hällmarksimpediment. Arten hotas främst av skogsavverkning och tycks försvinna efter slutavverkning, markberedning och plantering. Motaggsvamp är typisk art för </w:t>
      </w:r>
      <w:r>
        <w:rPr>
          <w:i/>
        </w:rPr>
        <w:t>9010 Taiga</w:t>
      </w:r>
      <w:r>
        <w:t xml:space="preserve"> (SLU Artdatabanken, 2024).</w:t>
      </w:r>
    </w:p>
    <w:p>
      <w:r>
        <w:rPr>
          <w:b/>
        </w:rPr>
        <w:t>Nötkråka (NT, §4)</w:t>
      </w:r>
      <w:r>
        <w:t xml:space="preserve"> är uppdelad på de två underarterna tjocknäbbad nötkråka (NT) som häckar i mossrik granskog med närbelägna hasselbestånd i södra och mellersta Sverige samt smalnäbbad nötkråka som är specialiserad på sibirisk cembratall i norra Sverige. Minskningstakten, som framför allt rör den tjocknäbbade nötkråkan (NT), har uppgått till 25 (10–40) % under de senaste 15 åren och bedöms vara nära gränsvärdet för sårbar (VU). Minskningen avser förekomstarea, kvalitén på artens habitat (minskad förekomst av hassel och försämrade häckningsmiljöer i barrskog) och antalet reproduktiva individer. Reviren har en storlek på 12–15 hektar och den häckar i mossrik äldre granskog med närbelägna hasselbestånd inom 5–6 km avstånd från häckningsområdet.</w:t>
      </w:r>
    </w:p>
    <w:p>
      <w:r>
        <w:t xml:space="preserve">Avverkning, gallring och röjning av såväl granskog i häckningsreviret som hassel i födosöksområdena missgynnar nötkråkan kraftigt och det kan ta åtskilliga decennier innan skogen åter blir lämplig för häckning. För att säkerställa existensen för den tjocknäbbade nötkråkan bör de förekomster av hassel, som nu visat sig tillräckliga för nötkråkan, bevaras. Hasselbuskar bör inte huggas ned i hagmarker eller intill åkrar där nötkråkor födosöker, eftersom dessa fristående buskar ger betydligt mer nötter än hasselbuskar som står i skog. Likaså är bevarande av nuvarande karaktär hos sådan granskog, som nu genom angränsande hasselförekomst visat sig kunna hysa en nötkråkestam, nödvändig. Nötkråka är typisk art för </w:t>
      </w:r>
      <w:r>
        <w:rPr>
          <w:i/>
        </w:rPr>
        <w:t>9010 Taiga</w:t>
      </w:r>
      <w:r>
        <w:t xml:space="preserve"> (SLU Artdatabanken, 2026; Skogsstyrelsen, 2016).</w:t>
      </w:r>
    </w:p>
    <w:p>
      <w:r>
        <w:rPr>
          <w:b/>
        </w:rPr>
        <w:t xml:space="preserve">Skarp dropptaggsvamp (NT) </w:t>
      </w:r>
      <w:r>
        <w:t>bildar mykorrhiza med både gran och tall, främst i barrskogar med trädkontinuitet. Arten uppträder dels i näringsrik kalkbarrskog och dels i sur lavtallskog. Kalkbarrskogarna är ofta grandominerade, olikåldriga och skiktade på frisk mark med ett örtrikt vegetationsskikt. Lavtallskogarna är i regel magra, torra, ljusöppna och ofta brandpräglade. Den totala populationen i landet har minskat och bedöms fortsätta minska till följd av avverkning av äldre barrskogar. Arten har begränsad förmåga att återetablera sig efter slutavverkning eller andra storskaliga skogsbruksåtgärder. Det saknas indikationer på att arten långsiktigt kan etablera eller reproducera sig i skogsbestånd som brukas med metoder som trakthyggesbruk, markberedning, gödsling eller föryngring med förädlat plantmaterial. Minskningstakten för den svenska populationen bedöms vara nära gränsvärdet för Sårbar (VU) (SLU Artdatabanken, 2026).</w:t>
      </w:r>
    </w:p>
    <w:p>
      <w:r>
        <w:rPr>
          <w:b/>
        </w:rPr>
        <w:t xml:space="preserve">Tallticka (NT) </w:t>
      </w:r>
      <w:r>
        <w:t xml:space="preserve">uppträder först på tallar som är 100–150 år gamla men är vanligast på träd som är runt 150–200 år eller äldre. I skogslandskapet är den främst knuten till tallnaturskogar och restbiotoper med biologiskt gamla träd och signalerar vanligtvis skyddsvärda tallbestånd med höga naturvärden. Tallticka är typisk art för </w:t>
      </w:r>
      <w:r>
        <w:rPr>
          <w:i/>
        </w:rPr>
        <w:t xml:space="preserve">9010 Taiga </w:t>
      </w:r>
      <w:r>
        <w:t xml:space="preserve">och </w:t>
      </w:r>
      <w:r>
        <w:rPr>
          <w:i/>
        </w:rPr>
        <w:t>9060 Åsbarrskog</w:t>
      </w:r>
      <w:r>
        <w:t xml:space="preserve"> (SLU Artdatabanken, 2023; Nitare &amp; Skogsstyrelsen, 2019).</w:t>
      </w:r>
    </w:p>
    <w:p>
      <w:r>
        <w:rPr>
          <w:b/>
        </w:rPr>
        <w:t>Talltita (NT, §4)</w:t>
      </w:r>
      <w:r>
        <w:t>, rödlistad som nära hotad och prioriterad art i Skogsvårdslagen, har häckningsrevir i anmälan. Arten har minskat kraftigt de senaste 30 åren och minskningstakten innevarande 10-årsperiod beräknas till 20 (10–30) %. Talltitan är synnerligen trogen sitt cirka 15 hektar stora revir och är beroende av flerskiktade olikåldriga skogar för att kunna föda upp sina ungar. Talltitan försvinner om dess livsmiljö kalavverkas (Eggers &amp; Low, 2014; Ekman, 1979; Griesser et al, 2007; Klein, 2020; Siffczyk et al, 2003; SLU Artdatabanken, 2021).</w:t>
      </w:r>
    </w:p>
    <w:p>
      <w:r>
        <w:rPr>
          <w:b/>
        </w:rPr>
        <w:t xml:space="preserve">Blåmossa </w:t>
      </w:r>
      <w:r>
        <w:t xml:space="preserve">har karaktäristiska kuddar som är lätta att se på långt håll. Mycket stora kuddar, större än 0,5 meter i höjd, indikerar höga naturvärden där skogen har en lång period av orördhet oh stabila miljöförhållanden. Mossan växer under gynnsamma omständigheter cirka 1 centimeter per år och stora kuddar kan därför indirekt visa att lokalen varit lämplig under en lång tid. Blåmossa är typisk art för </w:t>
      </w:r>
      <w:r>
        <w:rPr>
          <w:i/>
        </w:rPr>
        <w:t>9010 Taiga, 9080 Lövsumpskog</w:t>
      </w:r>
      <w:r>
        <w:t xml:space="preserve"> och </w:t>
      </w:r>
      <w:r>
        <w:rPr>
          <w:i/>
        </w:rPr>
        <w:t>9750 Svämlövskog</w:t>
      </w:r>
      <w:r>
        <w:t xml:space="preserve"> (SLU Artdatabanken, 2025; Nitare &amp; Skogsstyrelsen, 2019).</w:t>
      </w:r>
    </w:p>
    <w:p>
      <w:r>
        <w:rPr>
          <w:b/>
        </w:rPr>
        <w:t>Flagellkvastmossa</w:t>
      </w:r>
      <w:r>
        <w:t xml:space="preserve"> förekommer framför allt i tallsumpskog, men finns även i relativt torra gran- och tallskogar. Den signalerar överallt skogsmiljöer med höga naturvärden och indikerar biotoper med rik och kontinuerlig förekomst av död ved i olika nedbrytningsstadier eller barlagd torvjord. Flagellkvastmossa är typisk art för </w:t>
      </w:r>
      <w:r>
        <w:rPr>
          <w:i/>
        </w:rPr>
        <w:t xml:space="preserve">9010 Taiga </w:t>
      </w:r>
      <w:r>
        <w:t>och</w:t>
      </w:r>
      <w:r>
        <w:rPr>
          <w:i/>
        </w:rPr>
        <w:t xml:space="preserve"> 9740 Skogsbevuxen myr </w:t>
      </w:r>
      <w:r>
        <w:t>(SLU Artdatabanken, 2024; Nitare &amp; Skogsstyrelsen, 2019).</w:t>
      </w:r>
    </w:p>
    <w:p>
      <w:r>
        <w:rPr>
          <w:b/>
        </w:rPr>
        <w:t>Nästlav</w:t>
      </w:r>
      <w:r>
        <w:t xml:space="preserve"> indikerar söder om den naturliga norrlandsgränsen äldre barrskogsområden med höga naturvärden där andra ovanliga nordliga barrskogsarter kan påträffas. Nästlav är typisk art för </w:t>
      </w:r>
      <w:r>
        <w:rPr>
          <w:i/>
        </w:rPr>
        <w:t xml:space="preserve">9010 Taiga </w:t>
      </w:r>
      <w:r>
        <w:t>(Nitare &amp; Skogsstyrelsen, 2019; SLU Artdatabanken, 2025).</w:t>
      </w:r>
    </w:p>
    <w:p>
      <w:r>
        <w:rPr>
          <w:b/>
        </w:rPr>
        <w:t>Tibast</w:t>
      </w:r>
      <w:r>
        <w:t xml:space="preserve"> är en kalkgynnad buske som växer på mullrik, frisk eller svagt fuktig mark, exempelvis i gamla kalkgranskogar, lövträdslundar, varma källpåverkade sluttningar och exklusiva biotoper kopplade till vattendrag. Förekomster i gammal skog visar på höga naturvärden och bör alltid noteras i samband med naturvärdesinventeringar. Tibast är typisk art för </w:t>
      </w:r>
      <w:r>
        <w:rPr>
          <w:i/>
        </w:rPr>
        <w:t>9050 Näringsrik granskog</w:t>
      </w:r>
      <w:r>
        <w:t xml:space="preserve"> och värdväxt för de två fjärilsarterna större tibastmal och brun tibastmal (CR) (SLU Artdatabanken, 2024; Nitare &amp; Skogsstyrelsen, 2019).</w:t>
      </w:r>
    </w:p>
    <w:p>
      <w:r>
        <w:rPr>
          <w:b/>
        </w:rPr>
        <w:t xml:space="preserve">Vågbandad barkbock </w:t>
      </w:r>
      <w:r>
        <w:t>är en långhorning vars larvutveckling sker under bark på nyligen döda stående barrträd, främst gran, mer undantagsvis på tall. Främst i stående träd, särskilt gamla, långsamvuxna granar med grov bark, även i grövre grenar, stubbar eller vindfällen. Arten är starkt knuten till naturskogsliknande granskogar, och gynnas av extrema torrsomrar som försvagar träden. Arten påverkas negativt av brist på kontinuitetsskog och en minskning av populationen pågår eller förväntas ske (SLU Artdatabanken, 2025).</w:t>
      </w:r>
    </w:p>
    <w:p>
      <w:r>
        <w:rPr>
          <w:b/>
        </w:rPr>
        <w:t>Järpe (§4)</w:t>
      </w:r>
      <w:r>
        <w:t xml:space="preserve">, som är upptagen i bilaga 1 och 2 EU:s fågeldirektiv, är mycket stationär inom sitt revir som är minst 25 hektar stort. Livsmiljöerna utgörs av tät barrskog med inblandning av lövträd och en väl utvecklad flerskiktad struktur med bärris och yngre eller undertryckta, täta granar i ett lägre skikt, ofta utmed bäckar och åar inne i den skyddande granskogen. Den överlever inte om dess livsmiljö kalavverkas och är även känslig för röjning, gallring och avverkning där unga granar och lövträd inte sparas i tillräcklig omfattning. Arten finns i sammanhängande grandominerad skog över hela Sverige men förekomsterna är betydligt glesare i Götaland än i övriga landet. Järpe är typisk art för </w:t>
      </w:r>
      <w:r>
        <w:rPr>
          <w:i/>
        </w:rPr>
        <w:t xml:space="preserve">9010 Taiga, 9080 Lövsumpskog </w:t>
      </w:r>
      <w:r>
        <w:t xml:space="preserve">och </w:t>
      </w:r>
      <w:r>
        <w:rPr>
          <w:i/>
        </w:rPr>
        <w:t xml:space="preserve">9740 Skogsbevuxen myr </w:t>
      </w:r>
      <w:r>
        <w:t>(SLU Artdatabanken, 2026).</w:t>
      </w:r>
    </w:p>
    <w:p>
      <w:r>
        <w:rPr>
          <w:b/>
        </w:rPr>
        <w:t>Spillkråka (§4)</w:t>
      </w:r>
      <w:r>
        <w:t xml:space="preserve"> omfattas av bilaga 1 i EU:s fågeldirektiv och är typisk art för </w:t>
      </w:r>
      <w:r>
        <w:rPr>
          <w:i/>
        </w:rPr>
        <w:t xml:space="preserve">9010 Taiga </w:t>
      </w:r>
      <w:r>
        <w:t>och</w:t>
      </w:r>
      <w:r>
        <w:rPr>
          <w:i/>
        </w:rPr>
        <w:t xml:space="preserve"> 9740 Skogsbevuxen myr</w:t>
      </w:r>
      <w:r>
        <w:t>. Den behöver grova träd, främst tall, asp och bok som boträd. Skogsbruk med korta omloppstider och täta, homogena ungskogar utgör det största hotet. 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(SLU Artdatabanken, 2026; Skogsstyrelsen, 2016).</w:t>
      </w:r>
    </w:p>
    <w:p>
      <w:r>
        <w:rPr>
          <w:b/>
        </w:rPr>
        <w:t>Tjäder (§4)</w:t>
      </w:r>
      <w:r>
        <w:t xml:space="preserve"> omfattas av bilaga 1 och 2 EU:s fågeldirektiv och är typisk art för </w:t>
      </w:r>
      <w:r>
        <w:rPr>
          <w:i/>
        </w:rPr>
        <w:t xml:space="preserve">9010 Taiga </w:t>
      </w:r>
      <w:r>
        <w:t xml:space="preserve">och </w:t>
      </w:r>
      <w:r>
        <w:rPr>
          <w:i/>
        </w:rPr>
        <w:t>9740 Skogsbevuxen myr</w:t>
      </w:r>
      <w:r>
        <w:t>. Tjädern är en utpräglad skogsfågel knuten till större sammanhängande barrskogsområden. Tupparna och hönorna utnyttjar till viss del olika miljöer, och habitatvalet varierar dessutom mellan olika delar av året. För att det ska finnas livskraftiga tjäderbestånd krävs funktionella skogslandskap med en blandning av uppvuxen, gles och luckig skog, täta sumpskogar, myrar och andra små våtmarker. Arten försvinner när skogen fragmenteras och den sammanlagda arealen hyggen och andra öppna områden blir för stor. Ett småskaligt och försiktigt virkesuttag genom hyggesfria metoder kan i vissa fall vara möjligt i området inom 200 m från lekcentrum. Längre ut från lekcentrum, inom 200–500 m bör den avverkade ytan inte överskrida 1 hektar för att undvika alltför stora och snabba förändringar (Skogsstyrelsen, 2019; SLU Artdatabanken, 2024).</w:t>
      </w:r>
    </w:p>
    <w:p>
      <w:r>
        <w:rPr>
          <w:b/>
        </w:rPr>
        <w:t>Tofsmes (§4)</w:t>
      </w:r>
      <w:r>
        <w:t xml:space="preserve"> häckar i barr- och blandskog, främst i tallskog. Tofsmes är typisk art för </w:t>
      </w:r>
      <w:r>
        <w:rPr>
          <w:i/>
        </w:rPr>
        <w:t xml:space="preserve">9010 Taiga </w:t>
      </w:r>
      <w:r>
        <w:t>(SLU Artdatabanken, 2025).</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samrådsanmälda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samrådsanmälda skogsområdet har 20 naturvårdsarter varav 7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samrådsanmälda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Talltita – ekologi samt krav på livsmiljön</w:t>
      </w:r>
    </w:p>
    <w:p>
      <w:r>
        <w:t>Talltita är rödlistad som NT, fridlyst och prioriterad art i Skogsvårdslagen. Den omfattas av EU:s fågeldirektiv. Arten har minskat kraftigt de senaste 30 åren och minskningstakten innevarande 10-årsperiod beräknas till 20 (10–30) % (SLU Artdatabanken, 2022).</w:t>
      </w:r>
    </w:p>
    <w:p>
      <w:r>
        <w:t>Talltita föredrar större sammanhängande barrskogar, och finns såväl i tallskog som granskog och i lövblandad barrskog. Skogens struktur är viktig och ska helst vara flerskiktad med riklig underväxt av mindre granar, björk och andra lövträd och buskar. Tillgång på murknande högstubbar är särskilt viktig, eftersom talltitan helst själv hackar ut sitt bohål (SLU Artdatabanken, 2022).</w:t>
      </w:r>
    </w:p>
    <w:p>
      <w:r>
        <w:t>Det finns flera studier som visar att talltita är känslig för gallring och inte överlever när dess livsmiljö kalavverkas (Eggers and Low, 2014; Griesser et al., 2007; Klein, 2020). Talltitans revir är förhållandevis stora, 10–20 hektar och arten missgynnas när skogen fragmenteras. Kalavverkning av större delar av reviret innebär att det överges (Artdatabanken, 2021).</w:t>
      </w:r>
    </w:p>
    <w:p>
      <w:r>
        <w:t>Talltitan är synnerligen trogen sitt revir så länge paret lever och biotopen förblir intakt. Paret stannar i sitt revir året om. En förlust av ett revir har därför en stor inverkan på den lokala populationen och trakthyggesbruket anses vara orsak till den svenska populationens kraftiga minskning. Talltiteparets revirtrohet innebär att närhelst under året man observerar en adult talltita så ingår denna plats i reviret (Siffczyk et al., 2003; Ekman, 1979).</w:t>
      </w:r>
    </w:p>
    <w:p>
      <w:pPr>
        <w:pStyle w:val="Heading2"/>
      </w:pPr>
      <w:r>
        <w:t>Referenser – talltita</w:t>
      </w:r>
    </w:p>
    <w:p>
      <w:r>
        <w:t xml:space="preserve">Eggers, S., Low, M., 2014. </w:t>
      </w:r>
      <w:r>
        <w:rPr>
          <w:i/>
        </w:rPr>
        <w:t xml:space="preserve">Differential demographic responses of sympatric Parids to vegetation management in boreal forest. </w:t>
      </w:r>
      <w:r>
        <w:t>For. Ecol. Manage. 319, 169–175.</w:t>
      </w:r>
    </w:p>
    <w:p>
      <w:r>
        <w:t xml:space="preserve">Ekman, J., 1979. </w:t>
      </w:r>
      <w:r>
        <w:rPr>
          <w:i/>
        </w:rPr>
        <w:t xml:space="preserve">Coherence, composition and territories of winter social groups of the Willow Tit Parus montanus and the Crested Tit P. cristatus. </w:t>
      </w:r>
      <w:r>
        <w:t>Ornis Scandinavica, 10, pp 56–68</w:t>
      </w:r>
    </w:p>
    <w:p>
      <w:r>
        <w:t xml:space="preserve">Griesser, M., Nystrand, M., Eggers, S., Ekman, J., 2007. </w:t>
      </w:r>
      <w:r>
        <w:rPr>
          <w:i/>
        </w:rPr>
        <w:t xml:space="preserve">Impact of forestry practices on fitness correlates and population productivity in an open-nesting bird species. </w:t>
      </w:r>
      <w:r>
        <w:t>Conserv. Biol. 21, 767–774. https://doi.org/10.1111/j.1523- 1739.2007.00675.x</w:t>
      </w:r>
    </w:p>
    <w:p>
      <w:r>
        <w:t xml:space="preserve">Klein, J., 2020. </w:t>
      </w:r>
      <w:r>
        <w:rPr>
          <w:i/>
        </w:rPr>
        <w:t xml:space="preserve">The forgotten forest – On thinning, retention, and biodiversity in the boreal forest. </w:t>
      </w:r>
      <w:r>
        <w:t>Doctoral Thesis No. 2020:50</w:t>
      </w:r>
    </w:p>
    <w:p>
      <w:r>
        <w:t xml:space="preserve">Siffczyk, C., Brotons, L., Kangas, K., Orell, M., 2003. </w:t>
      </w:r>
      <w:r>
        <w:rPr>
          <w:i/>
        </w:rPr>
        <w:t xml:space="preserve">Home range size of willow tits. </w:t>
      </w:r>
      <w:r>
        <w:t>Oecologica, 136, 635–642 (2003)</w:t>
      </w:r>
    </w:p>
    <w:p>
      <w:r>
        <w:t xml:space="preserve">SLU Artdatabanken, 2021. </w:t>
      </w:r>
      <w:r>
        <w:rPr>
          <w:i/>
        </w:rPr>
        <w:t xml:space="preserve">Artfaktablad. Naturvård – artfakta. </w:t>
      </w:r>
      <w:r>
        <w:t>SLU Artdatabanken, Uppsala</w:t>
      </w:r>
    </w:p>
    <w:p>
      <w:pPr>
        <w:pStyle w:val="Heading1"/>
      </w:pPr>
      <w:r>
        <w:t>Järpe – ekologi samt krav på livsmiljön</w:t>
      </w:r>
    </w:p>
    <w:p>
      <w:r>
        <w:t>Järpe är fridlyst enligt 4§ artskyddsförordningen och upptagen i bilaga 1 och 2 EU:s fågeldirektiv. Den finns i sammanhängande grandominerad skog över hela Sverige men förekomsterna är betydligt glesare i Götaland än i övriga landet. Järpen har sina livsmiljöer i tät barrskog med inblandning av lövträd och en väl utvecklad flerskiktad struktur med bärris och yngre eller undertryckta, täta granar i ett lägre skikt, ofta utmed bäckar och åar inne i den skyddande granskogen (SLU Artdatabanken, 2026).</w:t>
      </w:r>
    </w:p>
    <w:p>
      <w:r>
        <w:t xml:space="preserve">Arten behöver lämpliga skogsbestånd om sammanlagt minst 25 hektar. Den är mycket stationär inom sitt revir och när ett par etablerat sig stannar de så länge miljön är intakt. Den undviker öppen mark och förﬂyttar sig sällan över större öppna myrar eller åkermark, och är därför känslig för fragmentering. Järpen överlever inte om dess livsmiljö kalavverkas och är även känslig för röjning, gallring och avverkning där unga granar och lövträd inte sparas i tillräcklig omfattning.  Järpe är typisk art för </w:t>
      </w:r>
      <w:r>
        <w:rPr>
          <w:i/>
        </w:rPr>
        <w:t>9010 Taiga, 9740 Skogsbevuxen myr</w:t>
      </w:r>
      <w:r>
        <w:t xml:space="preserve"> och </w:t>
      </w:r>
      <w:r>
        <w:rPr>
          <w:i/>
        </w:rPr>
        <w:t>9080 Lövsumpskog</w:t>
      </w:r>
      <w:r>
        <w:t xml:space="preserve"> (SLU Artdatabanken, 2026).</w:t>
      </w:r>
    </w:p>
    <w:p>
      <w:pPr>
        <w:pStyle w:val="Heading2"/>
      </w:pPr>
      <w:r>
        <w:t>Referenser – järpe</w:t>
      </w:r>
    </w:p>
    <w:p>
      <w:r>
        <w:t xml:space="preserve">SLU Artdatabanken, 2026. </w:t>
      </w:r>
      <w:r>
        <w:rPr>
          <w:i/>
        </w:rPr>
        <w:t xml:space="preserve">Artfaktablad. Naturvård – artfakta. </w:t>
      </w:r>
      <w:r>
        <w:t>SLU Artdatabanken, Uppsala</w:t>
      </w:r>
    </w:p>
    <w:p>
      <w:pPr>
        <w:pStyle w:val="Heading1"/>
      </w:pPr>
      <w:r>
        <w:t>Spillkråka – ekologi samt krav på livsmiljön</w:t>
      </w:r>
    </w:p>
    <w:p>
      <w:r>
        <w:t xml:space="preserve">Spillkråka (§4) ingår i bilaga 1 EU:s fågeldirektiv och är typisk art för </w:t>
      </w:r>
      <w:r>
        <w:rPr>
          <w:i/>
        </w:rPr>
        <w:t xml:space="preserve">9010 Taiga </w:t>
      </w:r>
      <w:r>
        <w:t>och</w:t>
      </w:r>
      <w:r>
        <w:rPr>
          <w:i/>
        </w:rPr>
        <w:t xml:space="preserve"> 9740 Skogsbevuxen myr</w:t>
      </w:r>
      <w:r>
        <w:t>. Den lever i både barr- och blandskog liksom i ren lövskog. De tätaste populationerna tenderar att finnas i äldre, variationsrik blandskog med gott om död ved och gamla träd. Varje par utnyttjar 400–1000 hektar skog beroende på skogens kvalitet. Skogsbruk med korta omloppstider och täta, homogena ungskogar utgör det största hotet (SLU Artdatabanken, 2026).</w:t>
      </w:r>
    </w:p>
    <w:p>
      <w:r>
        <w:t>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(Skogsstyrelsen, 2016).</w:t>
      </w:r>
    </w:p>
    <w:p>
      <w:pPr>
        <w:pStyle w:val="Heading2"/>
      </w:pPr>
      <w:r>
        <w:t>Referenser – spillkråka</w:t>
      </w:r>
    </w:p>
    <w:p>
      <w:r>
        <w:t xml:space="preserve">Skogsstyrelsen, 2016. </w:t>
      </w:r>
      <w:r>
        <w:rPr>
          <w:i/>
        </w:rPr>
        <w:t xml:space="preserve">Vägledning för hänsyn till spillkråka. </w:t>
      </w:r>
      <w:r>
        <w:t>Vägledningar och kunskapsstöd artskydd – Skogsstyrelsen.</w:t>
      </w:r>
    </w:p>
    <w:p>
      <w:r>
        <w:t xml:space="preserve">SLU Artdatabanken, 2026. </w:t>
      </w:r>
      <w:r>
        <w:rPr>
          <w:i/>
        </w:rPr>
        <w:t xml:space="preserve">Artfaktablad. Naturvård – artfakta. </w:t>
      </w:r>
      <w:r>
        <w:t>SLU Artdatabanken, Uppsala.</w:t>
      </w:r>
    </w:p>
    <w:p>
      <w:pPr>
        <w:pStyle w:val="Heading1"/>
      </w:pPr>
      <w:r>
        <w:t>Tjäder – ekologi samt krav på livsmiljön</w:t>
      </w:r>
    </w:p>
    <w:p>
      <w:r>
        <w:t xml:space="preserve">Tjäder (§4) omfattas av bilaga 1 och 2 EU:s fågeldirektiv och är typisk art för </w:t>
      </w:r>
      <w:r>
        <w:rPr>
          <w:i/>
        </w:rPr>
        <w:t xml:space="preserve">9010 Taiga </w:t>
      </w:r>
      <w:r>
        <w:t xml:space="preserve">och </w:t>
      </w:r>
      <w:r>
        <w:rPr>
          <w:i/>
        </w:rPr>
        <w:t>9740 Skogsbevuxen myr</w:t>
      </w:r>
      <w:r>
        <w:t>. Tjädern är en utpräglad skogsfågel knuten till större sammanhängande barrskogsområden. Tupparna och hönorna utnyttjar till viss del olika miljöer, och habitatvalet varierar dessutom mellan olika delar av året. För att det ska finnas livskraftiga tjäderbestånd krävs funktionella skogslandskap med en blandning av uppvuxen, gles och luckig skog, täta sumpskogar, myrar och andra små våtmarker (Skogsstyrelsen, 2019; SLU Artdatabanken 2024).</w:t>
      </w:r>
    </w:p>
    <w:p>
      <w:r>
        <w:t>Arten försvinner när skogen fragmenteras och den sammanlagda arealen hyggen och andra öppna områden blir för stor. Ett småskaligt och försiktigt virkesuttag genom hyggesfria metoder kan i vissa fall vara möjligt i området inom 200 m från lekcentrum. Längre ut från lekcentrum, inom 200–500 m bör den avverkade ytan inte överskrida 1 hektar för att undvika alltför stora och snabba förändringar (Skogsstyrelsen, 2019).</w:t>
      </w:r>
    </w:p>
    <w:p>
      <w:pPr>
        <w:pStyle w:val="Heading2"/>
      </w:pPr>
      <w:r>
        <w:t>Referenser – tjäder</w:t>
      </w:r>
    </w:p>
    <w:p>
      <w:r>
        <w:t xml:space="preserve">Skogsstyrelsen, 2019. </w:t>
      </w:r>
      <w:r>
        <w:rPr>
          <w:i/>
        </w:rPr>
        <w:t>Vägledning för hänsyn till fåglar – tjäder.</w:t>
      </w:r>
    </w:p>
    <w:p>
      <w:r>
        <w:t xml:space="preserve">SLU Artdatabanken, 2024.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2026-10-26</w:t>
      <w:br/>
      <w:br/>
    </w:r>
    <w:r>
      <w:t>Till: Sveaskog</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