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32030-2020 i Laxå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