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1157-2022 i Hallsbergs kommun</w:t>
      </w:r>
    </w:p>
    <w:p>
      <w:r>
        <w:t>Detta klagomål behandlar höga naturvärden i samrådsanmälan S 1157-2022 i Hallsbergs kommun som inkom 2022-02-25 och omfattar 524,2 ha.</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S 1157-2022 karta.png"/>
                    <pic:cNvPicPr/>
                  </pic:nvPicPr>
                  <pic:blipFill>
                    <a:blip r:embed="rId16"/>
                    <a:stretch>
                      <a:fillRect/>
                    </a:stretch>
                  </pic:blipFill>
                  <pic:spPr>
                    <a:xfrm>
                      <a:off x="0" y="0"/>
                      <a:ext cx="5486400" cy="5117123"/>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6538567, E 515845 i SWEREF 99 TM.</w:t>
      </w:r>
    </w:p>
    <w:p>
      <w:r>
        <w:t>I och inom 24 meter från samrådsanmälan finns fynd av 39 naturvårdsarter, varav 15 är rödlistade, 13 är fridlysta, 23 är typiska (T) och 14 är signalarter (S): garnlav (VU, T), dropptaggsvamp (NT, T), dvärgbägarlav (NT, T), grönhjon (NT), kattfotslav (NT, T), kolflarnlav (NT, T), majviva (NT), motaggsvamp (NT, T), mörk kolflarnlav (NT), reliktbock (NT, T), sommarfibbla (NT), talltita (NT, §4), tretåig hackspett (NT, T, §4), vedskivlav (NT, T), vedtrappmossa (NT, T), blodticka (S, T), blåmossa (S, T), bronshjon (S, T), dolkstekelsglasvinge (S), granbarkgnagare (S, T), grön sköldmossa (S, T, §8), gullgröppa (S), kornknutmossa (S, T), stubbspretmossa (S, T), thomsons trägnagare (S), tibast (S, T), vedticka (S, T), vågbandad barkbock (S), zontaggsvamp (S), mattlummer (T, §9), spillkråka (T, §4), tjäder (T, §4), tofsmes (T, §4), fiskgjuse (§4), kungsfågel (§4), trana (§4), ärtsångare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Fiskgjuse (§4)</w:t>
      </w:r>
      <w:r>
        <w:t xml:space="preserve"> är fridlyst enligt 4§ artskyddsförordningen och upptagen i bilaga 1 EU:s fågeldirektiv. Den bygger vanligen sitt stora risbo i toppen av en plattkronad, kraftig tall (&gt;90%) med utsikt över omgivningen. Skogsavverkningar utan hänsyn till bevarandet av fiskgjusens boträd och häckningsbiotop utgör en fara genom att tillgången på lämpliga träd minskar. Lämna en skyddszon kring boplatser vid avverkning eller gallring. Boträdets placering styr behovet av skyddszon vilket måste bedömas från fall till fall, men skyddszonen bör vara tillräckligt bred för att behålla skydd mot insyn, erbjuda lämpliga sittplatser och förhindra att boträdet blåser ner. Avstå från skogsbruksåtgärder i hänsynskrävande miljöer, som på uddar eller öar med äldre skog eller hällmarkstallskog där det häckar fiskgjuse. Gör naturvårdsavsättningar i äldre skog i lämpliga områden för fiskgjuse, t.ex. på uddar och i hällmarksområden (SLU Artdatabanken, 2024;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39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