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tallbit (VU, §4), backtimjan (NT), björktrast (NT, §4), buskskvätta (NT, §4), duvhök (NT, §4), entita (NT, §4), fiskmås (NT, §4), fjällvråk (NT, §4), gulsparv (NT, §4), havsörn (NT, §4), kråka (NT, §4), mindre blåvinge (NT), motaggsvamp (NT), rödvingetrast (NT, §4), sexfläckig bastardsvärmare (NT), spillkråka (NT, §4), svartpälsbi (NT), talltita (NT, §4), blomkålssvamp (S), större aspvedbock (S), gröngöling (§4), sångsvan (§4), trädlärka (§4), huggorm (§6), kopparödla (§6), skogsödla (§6) och mattlummer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gulsparv (NT, §4), havsörn (NT, §4), kråka (NT, §4), rödvingetrast (NT, §4), spillkråka (NT, §4), talltita (NT, §4), gröngöling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