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tallbit (VU, §4), backtimjan (NT), björktrast (NT, §4), buskskvätta (NT, §4), duvhök (NT, §4), entita (NT, §4), fiskmås (NT, §4), fjällvråk (NT, §4), grönsångare (NT, §4), gulsparv (NT, §4), havsörn (NT, §4), kråka (NT, §4), mindre blåvinge (NT), motaggsvamp (NT), rödvingetrast (NT, §4), sexfläckig bastardsvärmare (NT), spillkråka (NT, §4), svartpälsbi (NT), talltita (NT, §4), blomkålssvamp (S), större aspvedbock (S), gråkråka (§4), gröngöling (§4), grönsiska (§4), sångsvan (§4), trädlärka (§4), huggorm (§6), kopparödla (§6), skogsödla (§6) och mattlummer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grönsångare (NT, §4), gulsparv (NT, §4), havsörn (NT, §4), kråka (NT, §4), rödvingetrast (NT, §4), spillkråka (NT, §4), talltita (NT, §4), gråkråka (§4), gröngöling (§4), grönsiska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