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210-2024 i Hallsbergs kommun</w:t>
      </w:r>
    </w:p>
    <w:p>
      <w:r>
        <w:t>Denna tillsynsbegäran behandlar höga naturvärden i samrådsanmälan S 210-2024 i Hallsbergs kommun som inkom 2024-01-25 och omfattar 70,8 ha.</w:t>
      </w:r>
    </w:p>
    <w:p>
      <w:pPr>
        <w:pStyle w:val="Caption"/>
      </w:pPr>
      <w:r>
        <w:drawing>
          <wp:inline xmlns:a="http://schemas.openxmlformats.org/drawingml/2006/main" xmlns:pic="http://schemas.openxmlformats.org/drawingml/2006/picture">
            <wp:extent cx="4581167" cy="5724000"/>
            <wp:docPr id="1" name="Picture 1"/>
            <wp:cNvGraphicFramePr>
              <a:graphicFrameLocks noChangeAspect="1"/>
            </wp:cNvGraphicFramePr>
            <a:graphic>
              <a:graphicData uri="http://schemas.openxmlformats.org/drawingml/2006/picture">
                <pic:pic>
                  <pic:nvPicPr>
                    <pic:cNvPr id="0" name="S 210-2024 karta.png"/>
                    <pic:cNvPicPr/>
                  </pic:nvPicPr>
                  <pic:blipFill>
                    <a:blip r:embed="rId16"/>
                    <a:stretch>
                      <a:fillRect/>
                    </a:stretch>
                  </pic:blipFill>
                  <pic:spPr>
                    <a:xfrm>
                      <a:off x="0" y="0"/>
                      <a:ext cx="4581167"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6539615, E 518417 i SWEREF 99 TM.</w:t>
      </w:r>
    </w:p>
    <w:p>
      <w:r>
        <w:t>I och inom 22 meter från samrådsanmälan finns fynd av 12 naturvårdsarter, varav 3 är rödlistade, 5 är fridlysta, 6 är typiska (T) och 4 är signalarter (S): grangråticka (VU, T), kattfotslav (NT, T), motaggsvamp (NT, T), björksplintborre (S), blåmossa (S, T), vedticka (S, T), zontaggsvamp (S), blåsippa (T, §9), fiskgjuse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grangråticka (VU, T), kattfotslav (NT, T), motaggsvamp (NT, T), blåmossa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