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tallbit (VU, §4), backtimjan (NT), björktrast (NT, §4), duvhök (NT, §4), entita (NT, §4), fiskmås (NT, §4), gulsparv (NT, §4), havsörn (NT, §4), kråka (NT, §4), mindre blåvinge (NT), motaggsvamp (NT), rödvingetrast (NT, §4), sexfläckig bastardsvärmare (NT), spillkråka (NT, §4), talltita (NT, §4), blomkålssvamp (S), större aspvedbock (S), gröngöling (§4), sångsvan (§4), huggorm (§6), kopparödla (§6) och skogsödla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duvhök (NT, §4), entita (NT, §4), fiskmås (NT, §4), gulsparv (NT, §4), havsörn (NT, §4), kråka (NT, §4), rödvingetrast (NT, §4), spillkråka (NT, §4), talltita (NT, §4), gröngöling (§4), sångsvan (§4), huggorm (§6), kopparödla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