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tallbit (VU, §4), backtimjan (NT), björktrast (NT, §4), buskskvätta (NT, §4), duvhök (NT, §4), entita (NT, §4), fiskmås (NT, §4), fjällvråk (NT, §4), grönsångare (NT, §4), gulsparv (NT, §4), havsörn (NT, §4), kråka (NT, §4), mindre blåvinge (NT), motaggsvamp (NT), rödvingetrast (NT, §4), sexfläckig bastardsvärmare (NT), spillkråka (NT, §4), svartpälsbi (NT), svinrot (NT), talltita (NT, §4), blomkålssvamp (S), större aspvedbock (S), gråkråka (§4), gröngöling (§4), grönsiska (§4), sångsvan (§4), trädlärka (§4), huggorm (§6), kopparödla (§6), skogsödla (§6) och mattlummer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grönsångare (NT, §4), gulsparv (NT, §4), havsörn (NT, §4), kråka (NT, §4), rödvingetrast (NT, §4), spillkråka (NT, §4), talltita (NT, §4), gråkråka (§4), gröngöling (§4), grönsiska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