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tallbit (VU, §4), backtimjan (NT), björktrast (NT, §4), buskskvätta (NT, §4), duvhök (NT, §4), entita (NT, §4), fiskmås (NT, §4), fjällvråk (NT, §4), gulsparv (NT, §4), havsörn (NT, §4), kråka (NT, §4), mindre blåvinge (NT), motaggsvamp (NT), rödvingetrast (NT, §4), sexfläckig bastardsvärmare (NT), spillkråka (NT, §4), svartpälsbi (NT), talltita (NT, §4), blomkålssvamp (S), större aspvedbock (S), gråkråka (§4), gröngöling (§4), sångsvan (§4), trädlärka (§4), huggorm (§6), kopparödla (§6), skogsödla (§6) och mattlummer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gulsparv (NT, §4), havsörn (NT, §4), kråka (NT, §4), rödvingetrast (NT, §4), spillkråka (NT, §4), talltita (NT, §4), gråkråka (§4), gröngöling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