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tallbit (VU, §4), backtimjan (NT), björktrast (NT, §4), duvhök (NT, §4), entita (NT, §4), fiskmås (NT, §4), gulsparv (NT, §4), havsörn (NT, §4), kråka (NT, §4), mindre blåvinge (NT), motaggsvamp (NT), rödvingetrast (NT, §4), sexfläckig bastardsvärmare (NT), spillkråka (NT, §4), talltita (NT, §4), blomkålssvamp (S), större aspvedbock (S), gröngöling (§4), sångsvan (§4), huggorm (§6), kopparödla (§6) och skogsödla (§6).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duvhök (NT, §4), entita (NT, §4), fiskmås (NT, §4), gulsparv (NT, §4), havsörn (NT, §4), kråka (NT, §4), rödvingetrast (NT, §4), spillkråka (NT, §4), talltita (NT, §4), gröngöling (§4), sångsvan (§4), huggorm (§6), kopparödla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