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tallbit (VU, §4), backtimjan (NT), björktrast (NT, §4), buskskvätta (NT, §4), duvhök (NT, §4), entita (NT, §4), fiskmås (NT, §4), fjällvråk (NT, §4), grönsångare (NT, §4), gulsparv (NT, §4), havsörn (NT, §4), kråka (NT, §4), mindre blåvinge (NT), mindre timmerman (NT), motaggsvamp (NT), rödvingetrast (NT, §4), sexfläckig bastardsvärmare (NT), spillkråka (NT, §4), svartpälsbi (NT), svinrot (NT), talltita (NT, §4), blomkålssvamp (S), större aspvedbock (S), gråkråka (§4), gröngöling (§4), grönsiska (§4), sångsvan (§4), trädlärka (§4), huggorm (§6), kopparödla (§6), skogsödla (§6) och mattlummer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grönsångare (NT, §4), gulsparv (NT, §4), havsörn (NT, §4), kråka (NT, §4), rödvingetrast (NT, §4), spillkråka (NT, §4), talltita (NT, §4), gråkråka (§4), gröngöling (§4), grönsiska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