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pPr>
        <w:pStyle w:val="Title"/>
      </w:pPr>
      <w:r>
        <w:t>Tillsynsbegäran – information om höga naturvärden och fridlysta arter i avverkningsanmälan A 8346-2024 i Hallsbergs kommun</w:t>
      </w:r>
    </w:p>
    <w:p>
      <w:r>
        <w:t>Denna tillsynsbegäran behandlar höga naturvärden i avverkningsanmälan A 8346-2024 i Hallsbergs kommun som inkom 2024-03-01 och omfattar 4,8 ha.</w:t>
      </w:r>
    </w:p>
    <w:p>
      <w:pPr>
        <w:pStyle w:val="Caption"/>
      </w:pPr>
      <w:r>
        <w:drawing>
          <wp:inline xmlns:a="http://schemas.openxmlformats.org/drawingml/2006/main" xmlns:pic="http://schemas.openxmlformats.org/drawingml/2006/picture">
            <wp:extent cx="5486400" cy="5330692"/>
            <wp:docPr id="1" name="Picture 1"/>
            <wp:cNvGraphicFramePr>
              <a:graphicFrameLocks noChangeAspect="1"/>
            </wp:cNvGraphicFramePr>
            <a:graphic>
              <a:graphicData uri="http://schemas.openxmlformats.org/drawingml/2006/picture">
                <pic:pic>
                  <pic:nvPicPr>
                    <pic:cNvPr id="0" name="A 8346-2024 karta.png"/>
                    <pic:cNvPicPr/>
                  </pic:nvPicPr>
                  <pic:blipFill>
                    <a:blip r:embed="rId16"/>
                    <a:stretch>
                      <a:fillRect/>
                    </a:stretch>
                  </pic:blipFill>
                  <pic:spPr>
                    <a:xfrm>
                      <a:off x="0" y="0"/>
                      <a:ext cx="5486400" cy="5330692"/>
                    </a:xfrm>
                    <a:prstGeom prst="rect"/>
                  </pic:spPr>
                </pic:pic>
              </a:graphicData>
            </a:graphic>
          </wp:inline>
        </w:drawing>
      </w:r>
    </w:p>
    <w:p>
      <w:pPr>
        <w:pStyle w:val="Caption"/>
        <w:spacing w:after="240"/>
      </w:pPr>
      <w:r>
        <w:t>Figur 1. Fyndplatser för naturvårdsarter i och inom 7 meter från avverkningsanmälan. Markörer utan svart kant är placerade på fyndplatsen. Markörer med svart kant är placerade vid sidan av fyndplatsen och har ett svart streck som visar fyndplatsens exakta position. Kartans mittpunktskoordinat är N 6539911, E 515394 i SWEREF 99 TM.</w:t>
      </w:r>
    </w:p>
    <w:p>
      <w:r>
        <w:t>I och inom 7 meter från avverkningsanmälan finns fynd av 14 naturvårdsarter, varav 3 är rödlistade, 7 är fridlysta och 7 är typiska (T): tornseglare (VU, §4), gulsparv (NT, §4), järnsparv (NT, §4), bergsslok (T), blåbär (T), ekorrbär (T), humleblomster (T), kärrviol (T), skogsstjärna (T), vitsippa (T), röd glada (§4), skogsduva (§4), trana (§4) och törnskata (§4). Se Figur 1.</w:t>
      </w:r>
    </w:p>
    <w:p>
      <w:pPr>
        <w:pStyle w:val="Heading1"/>
      </w:pPr>
      <w:r>
        <w:t>Tillsynsbegäran</w:t>
      </w:r>
    </w:p>
    <w:p>
      <w:r>
        <w:t>Vi begär härmed att Skogsstyrelsen fattar beslut enligt miljöbalken som säkerställer att skogens höga naturvärden bevaras samt att EU-lagstiftning efterlevs och att artskyddsbrott förhindras.</w:t>
      </w:r>
    </w:p>
    <w:p>
      <w:r>
        <w:t>Vi begär vidare att Skogsstyrelsen säkerställer att inga skador eller försämringar av naturtypens bevarandestatus i området tillåts ske. Se Rådets direktiv 92/43/EEG samt ickeförsämringskravet i EU:s naturrestaureringsförordning (EU 2024/1991).</w:t>
      </w:r>
    </w:p>
    <w:p>
      <w:r>
        <w:t>Vi önskar även ta del av de ställningstaganden och beslut som myndigheten meddelar till följd av aktuell avverkningsanmälan och föreningens inlaga (se 34 § förvaltningslagen).</w:t>
      </w:r>
    </w:p>
    <w:p>
      <w:pPr>
        <w:pStyle w:val="Heading1"/>
      </w:pPr>
      <w:r>
        <w:t>Naturvårdsarter och fridlysta arter</w:t>
      </w:r>
    </w:p>
    <w:p>
      <w:r>
        <w:t>Nedan följer beskrivningar av de naturvårdsarter och fridlysta arter som har sina livsmiljöer och växtplatser i den avverkningsanmälda skogen. De påträffade naturvårdsarterna är ett tydligt kvitto på att det rör sig om en skog med höga naturvärden.</w:t>
      </w:r>
    </w:p>
    <w:p>
      <w:r>
        <w:rPr>
          <w:b/>
        </w:rPr>
        <w:t>Tornseglare (VU, §4)</w:t>
      </w:r>
      <w:r>
        <w:t xml:space="preserve"> har minskat med 40 (30–50) % under de senaste 24 åren och minskningstakten överstiger gränsvärdet för sårbar (VU). Tornseglaren är en typisk hålhäckare som numera huvudsakligen är knuten till mänsklig bebyggelse. En mindre andel av beståndet häckar i mer ursprungliga miljöer, i första hand i gamla hackspetthål (främst spillkråkehål) och andra typer av håligheter i träd, men även i klippskrevor. I de inre delarna av de två nordligaste länen (Lappland) häckar den huvudsakligen i ren skogsmiljö, framförallt i gammal gles tallskog. För de tornseglare som häckar i träd i Norrlands inland har situationen sannolikt försämrats till följd av minskad mängd hålträd och av stora arealer tät produktionsskog. När arten förekommer i sluten skog handlar det ofta om skyddsvärda skogsmiljöer med äldre tallskog av naturskogskaraktär (SLU Artdatabanken, 2026; Skogsstyrelsen, 2016).</w:t>
      </w:r>
    </w:p>
    <w:p>
      <w:r>
        <w:rPr>
          <w:b/>
        </w:rPr>
        <w:t xml:space="preserve">Bergsslok </w:t>
      </w:r>
      <w:r>
        <w:t xml:space="preserve">är typisk art för </w:t>
      </w:r>
      <w:r>
        <w:rPr>
          <w:i/>
        </w:rPr>
        <w:t>9190 Näringsfattig ekskog</w:t>
      </w:r>
      <w:r>
        <w:t xml:space="preserve"> (SLU Artdatabanken, 2025).</w:t>
      </w:r>
    </w:p>
    <w:p>
      <w:r>
        <w:rPr>
          <w:b/>
        </w:rPr>
        <w:t>Blåbär</w:t>
      </w:r>
      <w:r>
        <w:t xml:space="preserve"> är typisk art för </w:t>
      </w:r>
      <w:r>
        <w:rPr>
          <w:i/>
        </w:rPr>
        <w:t>9190 Näringsfattig ekskog</w:t>
      </w:r>
      <w:r>
        <w:t>. I naturskogar och kontinuitetsskogar är blåbär värdväxt för bland annat de rödlistade fjärilarna sibiriskt lundfly (EN), tajgafjällfly (EN), urskogsfly (EN), fjällskogsfly (VU), högnordiskt fjällfly (VU), baltiskt skogsfly (NT), gråpudrat skogsfly (NT), grå blåbärsfältmätare (NT) och skogsfältmätare (NT) (SLU Artdatabanken, 2026).</w:t>
      </w:r>
    </w:p>
    <w:p>
      <w:r>
        <w:rPr>
          <w:b/>
        </w:rPr>
        <w:t xml:space="preserve">Ekorrbär </w:t>
      </w:r>
      <w:r>
        <w:t xml:space="preserve">är typisk art för </w:t>
      </w:r>
      <w:r>
        <w:rPr>
          <w:i/>
        </w:rPr>
        <w:t xml:space="preserve">9190 Näringsfattig ekskog </w:t>
      </w:r>
      <w:r>
        <w:t>(SLU Artdatabanken, 2025).</w:t>
      </w:r>
    </w:p>
    <w:p>
      <w:r>
        <w:rPr>
          <w:b/>
        </w:rPr>
        <w:t>Humleblomster</w:t>
      </w:r>
      <w:r>
        <w:t xml:space="preserve"> är typisk art för </w:t>
      </w:r>
      <w:r>
        <w:rPr>
          <w:i/>
        </w:rPr>
        <w:t xml:space="preserve">9040 Fjällbjörkskog </w:t>
      </w:r>
      <w:r>
        <w:t>(SLU Artdatabanken, 2025).</w:t>
      </w:r>
    </w:p>
    <w:p>
      <w:r>
        <w:rPr>
          <w:b/>
        </w:rPr>
        <w:t xml:space="preserve">Kärrviol </w:t>
      </w:r>
      <w:r>
        <w:t xml:space="preserve">är typisk art för </w:t>
      </w:r>
      <w:r>
        <w:rPr>
          <w:i/>
        </w:rPr>
        <w:t xml:space="preserve">9740 Skogsbevuxen myr </w:t>
      </w:r>
      <w:r>
        <w:t>och</w:t>
      </w:r>
      <w:r>
        <w:rPr>
          <w:i/>
        </w:rPr>
        <w:t xml:space="preserve"> 6450 Svämängar </w:t>
      </w:r>
      <w:r>
        <w:t>(SLU Artdatabanken, 2025).</w:t>
      </w:r>
    </w:p>
    <w:p>
      <w:r>
        <w:rPr>
          <w:b/>
        </w:rPr>
        <w:t xml:space="preserve">Skogsstjärna </w:t>
      </w:r>
      <w:r>
        <w:t xml:space="preserve">är typisk art för </w:t>
      </w:r>
      <w:r>
        <w:rPr>
          <w:i/>
        </w:rPr>
        <w:t xml:space="preserve">9190 Näringsfattig ekskog </w:t>
      </w:r>
      <w:r>
        <w:t>(SLU Artdatabanken, 2025).</w:t>
      </w:r>
    </w:p>
    <w:p>
      <w:r>
        <w:rPr>
          <w:b/>
        </w:rPr>
        <w:t>Vitsippa</w:t>
      </w:r>
      <w:r>
        <w:t xml:space="preserve"> är typisk art för </w:t>
      </w:r>
      <w:r>
        <w:rPr>
          <w:i/>
        </w:rPr>
        <w:t xml:space="preserve">9040 Fjällbjörkskog </w:t>
      </w:r>
      <w:r>
        <w:t>(SLU Artdatabanken, 2025).</w:t>
      </w:r>
    </w:p>
    <w:p>
      <w:r>
        <w:rPr>
          <w:b/>
        </w:rPr>
        <w:t>Röd glada (§4)</w:t>
      </w:r>
      <w:r>
        <w:t xml:space="preserve"> är fridlyst enligt 4§ artskyddsförordningen och upptagen i bilaga 1 EU:s fågeldirektiv. Den häckar gärna i omväxlande landskap med mosaik av öppna marker och skogar. Tidigare studier har visat en förkärlek för att häcka nära sjöar, och häckningsframgången var också högre hos par som häckade nära vatten. Boet läggs i träd, ofta högt och vanligen nära skogsbryn. Missgynnas av skogliga åtgärder som lämnar boet allt för exponerat, främst genom för smala skyddszoner och för omfattande gallring. Lämna en skyddszon kring boplatser vid avverkning eller andra skogliga åtgärder. Bredden på skyddszonen beror på platsen, men som tumregel ska den ska vara så bred att boplatsen inte är väsentligt mer exponerad för insyn än tidigare. Spara samtliga träd med större risbon, även sådana där boet ser obebott ut. Avstå att avverka äldre lövdominerade bestånd, främst i anslutning till öppen jordbruksmark (SLU Artdatabanken, 2024; Skogsstyrelsen, 2016).</w:t>
      </w:r>
    </w:p>
    <w:p>
      <w:pPr>
        <w:pStyle w:val="Heading1"/>
      </w:pPr>
      <w:r>
        <w:t>EU:s fågeldirektiv</w:t>
      </w:r>
    </w:p>
    <w:p>
      <w:r>
        <w:t xml:space="preserve">Europeiska unionens medlemsländer är skyldiga att agera i enlighet med EU:s fågeldirektiv där det uttryckligen står att direktivet gäller för fåglar samt för deras ägg, bon och </w:t>
      </w:r>
      <w:r>
        <w:rPr>
          <w:b/>
        </w:rPr>
        <w:t xml:space="preserve">livsmiljöer </w:t>
      </w:r>
      <w:r>
        <w:t>(artikel 1). Vidare att de åtgärder som vidtas inte får leda till en försämring av den nuvarande situationen beträffande bevarandet av de fågelarter som avses i artikel 1 (artikel 13). Fågeldirektivet är styrande för tillsynsansvariga myndigheters ärendehantering, ställningstaganden och beslutsfattande.</w:t>
      </w:r>
    </w:p>
    <w:p>
      <w:pPr>
        <w:pStyle w:val="Heading1"/>
      </w:pPr>
      <w:r>
        <w:t>Typiska arter och EU:s art- och habitatdirektiv</w:t>
      </w:r>
    </w:p>
    <w:p>
      <w:r>
        <w:t>Typiska arter används för att lokalisera områden med gynnsam bevarandestatus för de naturtyper som är listade i EU:s art- och habitatdirektiv. Ett exempel är Västlig taiga (EU-kod 9010) som saknar gynnsam bevarandestatus och minskar starkt som naturtyp i Sverige. Naturvårdsverket skriver i sin vägledning för Västlig taiga att dylika miljöer förutsätter normalt att skogarna skyddas långsiktigt, eftersom skogsbruk inte är förenligt med bevarande av naturtypen i gynnsamt tillstånd (Naturvårdsverket, 2011).</w:t>
      </w:r>
    </w:p>
    <w:p>
      <w:r>
        <w:t>Följande typiska arter har sina livsmiljöer och växtplatser i den avverkningsanmälda skogen: bergsslok (T), blåbär (T), ekorrbär (T), humleblomster (T), kärrviol (T), skogsstjärna (T) och vitsippa (T).</w:t>
      </w:r>
    </w:p>
    <w:p>
      <w:r>
        <w:t>Enligt Sveriges Artikel 17 rapportering 2013 och 2019 till EU, har naturtypen Västlig taiga (9010) dålig bevarandestatus med negativ trend inom Sveriges boreala region. Skogsbruksåtgärder som avverkning, röjning och gallring pekas ut som några av de främst bidragande orsakerna till naturtypens dåliga status och negativa trend (SLU Artdatabanken, 2019). I EU:s uppföljning av tillståndet för naturtyperna i Skandinavien 2013 – 2018 framgår det att i den boreala regionen är tillståndet så dåligt för Västlig taiga (9010) att habitatet löper allvarlig risk att försvinna regionalt (EEA, 2022). Det allvarliga läget för den biologiska mångfalden i skogen framhålls även i Skogsstyren rapport 2026/07:</w:t>
      </w:r>
    </w:p>
    <w:p>
      <w:r>
        <w:rPr>
          <w:i/>
        </w:rPr>
        <w:t>"All avverkning av kända skogliga värdekärnor och sannolika kontinuitetsskogar behöver upphöra för att fylla bristen om 1,56 miljoner hektar bevarad livsmiljötyp. På grund av begränsade kvarvarande arealer av värdekärnor, naturskogar och kontinuitetsskogar leder fortsatt förlust av dessa till en påtaglig risk för långsiktigt negativa effekter för biologisk mångfald i skogslandskapet. Att de återstående arealerna bevaras och ges ett långsiktigt skydd bedöms därför vara av avgörande betydelse."</w:t>
      </w:r>
      <w:r>
        <w:t xml:space="preserve"> (Skogsstyrelsen, 2026).</w:t>
      </w:r>
    </w:p>
    <w:p>
      <w:r>
        <w:t>Trots detta har statusen för Västlig taiga ändrats till otillräcklig i stället för dålig i den senaste Artikel 17 rapporteringen 2025. Av Naturvårdsverkets rapport framgår det dock att de ändrade statusbedömningarna jämfört med rapporteringen 2019 inte beror på faktiska miljöförändringar. Ändringarna är av teknisk karaktär och främst en följd av resultaten från genomförda regeringsuppdrag och beslut inför rapporteringen 2025. Det är alltså politisk styrning i stället för faktiska förhållanden i naturen som ändrat på naturtypernas status i rapporteringen, vilket rimmar dåligt med såväl art- och habitatdirektivets syften och mål som med naturrestaureringsförordningen. I praktiken har dock Sveriges nya sätt att rapportera bevarandestatus till EU inte någon betydelse eftersom Naturvårdsverkets rapportering 2025 visar att Västlig taiga</w:t>
      </w:r>
      <w:r>
        <w:rPr>
          <w:b/>
        </w:rPr>
        <w:t xml:space="preserve"> </w:t>
      </w:r>
      <w:r>
        <w:t>inte har gynnsam bevarandestatus.</w:t>
      </w:r>
    </w:p>
    <w:p>
      <w:r>
        <w:t>Åtgärder som vidtas i enlighet med art- och habitatdirektivet ska enligt Artikel 2 syfta till att bibehålla eller återställa en gynnsam bevarandestatus hos livsmiljöer samt arter och vilda djur och växter av gemenskapsintresse. Enligt prejudikat från EU-domstolen ska en skogsbruksverksamhet utföras på ett sådant sätt som utgör ett förebyggande och hållbart skogsbruk för att betraktas som förenlig med bevarandekraven i direktivet (se EU-domstolens dom i de förenade målen C 473-19 och C 474-19).</w:t>
      </w:r>
    </w:p>
    <w:p>
      <w:r>
        <w:t xml:space="preserve">Av artikel 1.e samma direktiv framgår att en livsmiljös bevarandestatus anses " gynnsam" när — dess naturliga utbredningsområde och de ytor den täcker inom detta område är stabila eller ökande, och — den särskilda struktur och de särskilda funktioner som är nödvändiga för att den skall kunna bibehållas på lång sikt finns, och sannolikt kommer att finnas under en överskådlig framtid, och — bevarandestatusen hos dess </w:t>
      </w:r>
      <w:r>
        <w:rPr>
          <w:b/>
        </w:rPr>
        <w:t>typiska arter</w:t>
      </w:r>
      <w:r>
        <w:t xml:space="preserve"> är gynnsam enligt definitionen i artikel 1.i.</w:t>
      </w:r>
    </w:p>
    <w:p>
      <w:r>
        <w:t>EU-direktiv är bindande för EU:s medlemsländer varvid det ankommer på Skogsstyrelsen som nationell tillsynsmyndighet att beakta syftet med EU:s art- och habitatdirektiv vid prövningen av en skogsbruksverksamhet, se Rådets direktiv 92/43/EEG. Se ytterligare information om EU:s livsmiljödirektiv i bilaga 2.</w:t>
      </w:r>
    </w:p>
    <w:p>
      <w:r>
        <w:br w:type="page"/>
      </w:r>
    </w:p>
    <w:p>
      <w:pPr>
        <w:pStyle w:val="Title"/>
      </w:pPr>
      <w:r>
        <w:t>BILAGA 1 – EU:s art- och habitatdirektiv, fågeldirektiv och naturrestaureringsförordning</w:t>
      </w:r>
    </w:p>
    <w:p>
      <w:pPr>
        <w:pStyle w:val="Heading2"/>
      </w:pPr>
      <w:r>
        <w:t>Förenlighet med EU-direktiv</w:t>
      </w:r>
    </w:p>
    <w:p>
      <w:r>
        <w:t>EU-direktiv är bindande för EU:s medlemsländer varvid det ankommer på Skogsstyrelsen som nationell tillsynsmyndighet att beakta syftet med EU:s art- och habitatdirektiv respektive fågeldirektiv vid prövningen av en skogsbruksverksamhet, se Rådets direktiv 92/43/EEG samt 2009/147/EG. Nationella regler som omfattas av ett EU-direktiv ska enligt fast rättspraxis tolkas i enlighet med direktivet, vilket medför en skyldighet för myndigheten att tolka bestämmelser i nationell rätt i ljuset av direktivets ordalydelse, sammanhang och de mål som eftersträvas med direktivet (se EU-domstolens dom i mål C 477/19).</w:t>
      </w:r>
    </w:p>
    <w:p>
      <w:r>
        <w:t>EU:s medlemsstater åläggs i Artikel 3 i fågeldirektivet generella skyldigheter avseende skydd, bevarande och återställande av tillräckligt stora och varierande livsmiljöer för de fågelarter som omfattas av direktivet. Medlemsstaterna ska vidta de åtgärder som är nödvändiga för att bibehålla populationen av fågelarterna på en nivå som svarar särskilt mot ekologiska, vetenskapliga och kulturella behov, eller återupprätta populationen av dessa arter till en sådan nivå (se Europaparlamentets och rådets direktiv 2009/147/EG).</w:t>
      </w:r>
    </w:p>
    <w:p>
      <w:r>
        <w:t>Åtgärder som vidtas i enlighet med art- och habitatdirektivet (92/43/EEG) ska enligt Artikel 2 syfta till att bibehålla eller återställa en gynnsam bevarandestatus hos livsmiljöer samt arter och vilda djur och växter av gemenskapsintresse. Enligt prejudikat från EU-domstolen ska en skogsbruksverksamhet utföras på ett sådant sätt som utgör ett förebyggande och hållbart skogsbruk för att betraktas som förenlig med bevarandekraven i direktivet (se EU-domstolens dom i de förenade målen C 473-19 och C 474-19).</w:t>
      </w:r>
    </w:p>
    <w:p>
      <w:r>
        <w:t xml:space="preserve">Av artikel 1.e samma direktiv framgår att en livsmiljös bevarandestatus anses " gynnsam" när — dess naturliga utbredningsområde och de ytor den täcker inom detta område är stabila eller ökande, och — den särskilda struktur och de särskilda funktioner som är nödvändiga för att den skall kunna bibehållas på lång sikt finns, och sannolikt kommer att finnas under en överskådlig framtid, och — bevarandestatusen hos dess </w:t>
      </w:r>
      <w:r>
        <w:rPr>
          <w:b/>
        </w:rPr>
        <w:t>typiska arter</w:t>
      </w:r>
      <w:r>
        <w:t xml:space="preserve"> är gynnsam enligt definitionen i artikel 1.i. Typiska arter används för att lokalisera områden med gynnsam bevarandestatus för de naturtyper som ingår i EU:s art- och habitatdirektiv.</w:t>
      </w:r>
    </w:p>
    <w:p>
      <w:r>
        <w:t>Västlig taiga (EU-kod 9010) saknar gynnsam bevarandestatus och minskar starkt som naturtyp i Sverige. Naturvårdsverket skriver i sin vägledning för västlig taiga att dylika miljöer förutsätter normalt att skogarna skyddas långsiktigt, eftersom skogsbruk inte är förenligt med bevarande av naturtypen i gynnsamt tillstånd (Naturvårdsverket, 2011). Enligt Sveriges Artikel 17 rapportering 2013 och 2019 till EU, har naturtypen Västlig taiga (9010) dålig bevarandestatus med negativ trend inom Sveriges boreala region. Skogsbruksåtgärder som avverkning, röjning och gallring pekas ut som några av de främst bidragande orsakerna till naturtypens dåliga status och negativa trend (SLU Artdatabanken, 2019). I EU:s uppföljning av tillståndet för naturtyperna i Skandinavien 2013 – 2018 framgår det att i den boreala regionen är tillståndet så dåligt för Västlig taiga (9010) att habitatet löper allvarlig risk att försvinna regionalt (EEA, 2022). Det allvarliga läget för den biologiska mångfalden i skogen framhålls även i Skogsstyren rapport 2026/07:</w:t>
      </w:r>
    </w:p>
    <w:p>
      <w:r>
        <w:rPr>
          <w:i/>
        </w:rPr>
        <w:t>"All avverkning av kända skogliga värdekärnor och sannolika kontinuitetsskogar behöver upphöra för att fylla bristen om 1,56 miljoner hektar bevarad livsmiljötyp. På grund av begränsade kvarvarande arealer av värdekärnor, naturskogar och kontinuitetsskogar leder fortsatt förlust av dessa till en påtaglig risk för långsiktigt negativa effekter för biologisk mångfald i skogslandskapet. Att de återstående arealerna bevaras och ges ett långsiktigt skydd bedöms därför vara av avgörande betydelse."</w:t>
      </w:r>
      <w:r>
        <w:t xml:space="preserve"> (Skogsstyrelsen, 2026).</w:t>
      </w:r>
    </w:p>
    <w:p>
      <w:pPr>
        <w:pStyle w:val="Caption"/>
      </w:pPr>
      <w:r>
        <w:drawing>
          <wp:inline xmlns:a="http://schemas.openxmlformats.org/drawingml/2006/main" xmlns:pic="http://schemas.openxmlformats.org/drawingml/2006/picture">
            <wp:extent cx="5486400" cy="2905862"/>
            <wp:docPr id="2" name="Picture 2"/>
            <wp:cNvGraphicFramePr>
              <a:graphicFrameLocks noChangeAspect="1"/>
            </wp:cNvGraphicFramePr>
            <a:graphic>
              <a:graphicData uri="http://schemas.openxmlformats.org/drawingml/2006/picture">
                <pic:pic>
                  <pic:nvPicPr>
                    <pic:cNvPr id="0" name="uppföljning av västlig taiga.jpeg"/>
                    <pic:cNvPicPr/>
                  </pic:nvPicPr>
                  <pic:blipFill>
                    <a:blip r:embed="rId17"/>
                    <a:stretch>
                      <a:fillRect/>
                    </a:stretch>
                  </pic:blipFill>
                  <pic:spPr>
                    <a:xfrm>
                      <a:off x="0" y="0"/>
                      <a:ext cx="5486400" cy="2905862"/>
                    </a:xfrm>
                    <a:prstGeom prst="rect"/>
                  </pic:spPr>
                </pic:pic>
              </a:graphicData>
            </a:graphic>
          </wp:inline>
        </w:drawing>
      </w:r>
    </w:p>
    <w:p>
      <w:pPr>
        <w:pStyle w:val="Caption"/>
      </w:pPr>
      <w:r>
        <w:t>EU:s uppföljning av tillståndet för naturtypen Västlig taiga 9010 i Skandinavien 2013 - 2018. Av kartan framgår det att i den boreala regionen är tillståndet så dåligt (röd färg) att habitatet löper allvarlig risk att försvinna regionalt. Källa: European Environment Agency. https:// eunis.eea.europoa.eu/habitats/10176.</w:t>
      </w:r>
    </w:p>
    <w:p>
      <w:r>
        <w:t>Trots det allvarliga läget har statusen för Västlig taiga ändrats till otillräcklig i stället för dålig i den senaste Artikel 17 rapporteringen 2025. Av Naturvårdsverkets rapport framgår det dock att de ändrade statusbedömningarna jämfört med rapporteringen 2019 inte beror på faktiska miljöförändringar. Ändringarna är av teknisk karaktär och främst en följd av resultaten från genomförda regeringsuppdrag och beslut inför rapporteringen 2025. Det är alltså politisk styrning i stället för faktiska förhållanden i naturen som ändrat på naturtypernas status i rapporteringen, vilket rimmar dåligt med såväl art- och habitatdirektivets syften och mål som med naturrestaureringsförordningen. I praktiken har dock Sveriges nya sätt att rapportera bevarandestatus till EU inte någon betydelse eftersom Naturvårdsverkets rapportering 2025 visar att Västlig taiga inte har gynnsam bevarandestatus.</w:t>
      </w:r>
    </w:p>
    <w:p>
      <w:pPr>
        <w:pStyle w:val="Heading2"/>
      </w:pPr>
      <w:r>
        <w:t>EU:s naturrestaureringsförordning</w:t>
      </w:r>
    </w:p>
    <w:p>
      <w:r>
        <w:t>Enligt EU:s naturrestaureringsförordning (EU 2024/1991) ska minst 20 % av landområden och minst 20 % av havsarealen vara restaurerad senast 2030, samt alla ekosystem som är i behov av restaurering senast 2050. Det framgår också av förordningen att det är viktigt att livsmiljötyperna inte försämras innan eller efter att restaureringar genomförts, se exempelvis punkt 37 förordningen.</w:t>
      </w:r>
    </w:p>
    <w:p>
      <w:r>
        <w:t>”</w:t>
      </w:r>
      <w:r>
        <w:rPr>
          <w:i/>
        </w:rPr>
        <w:t>Det är viktigt att medlemsstaterna vidtar åtgärder som syftar till att säkerställa att tillståndet för områden som täcks av livsmiljötyper som omfattas av denna förordning och som omfattas av restaureringsåtgärder uppvisar en kontinuerlig förbättring till dess att de uppnår ett gott tillstånd, och att medlemsstaterna vidtar åtgärder som syftar till att säkerställa att dessa livsmiljötyper, när de har uppnått ett gott tillstånd, inte försämras avsevärt, så att det långsiktiga bibehållandet eller uppnåendet av gott tillstånd inte äventyras. (..) Det är också viktigt att medlemsstaterna anstränger sig för att förhindra avsevärd försämring av områden som täcks av sådana livsmiljötyper som antingen redan är i gott skick eller som inte är i gott skick men ännu inte omfattas av restaureringsåtgärder.”</w:t>
      </w:r>
    </w:p>
    <w:p>
      <w:r>
        <w:rPr>
          <w:b/>
          <w:i/>
        </w:rPr>
        <w:t>Artikel 4(12):</w:t>
      </w:r>
    </w:p>
    <w:p>
      <w:r>
        <w:rPr>
          <w:i/>
        </w:rPr>
        <w:t>Utan att det påverkar tillämpningen av direktiv 92/43/EEG ska medlemsstaterna, senast den dag då deras nationella restaureringsplaner offentliggörs i enlighet med artikel 17.6 i denna förordning, eftersträva att genomföra de åtgärder som krävs för att förhindra avsevärd försämring av områden där de livsmiljötyper som förtecknas i bilaga I till denna förordning förekommer och som är i gott tillstånd eller som krävs för att uppnå de restaureringsmål som anges i punkt 17 i den här artikeln.</w:t>
      </w:r>
    </w:p>
    <w:p>
      <w:r>
        <w:rPr>
          <w:b/>
          <w:i/>
        </w:rPr>
        <w:t>Artikel 4 (17).   Medlemsstaterna ska säkerställa</w:t>
      </w:r>
    </w:p>
    <w:p>
      <w:r>
        <w:rPr>
          <w:i/>
        </w:rPr>
        <w:t>a) en ökning av arealen i gott tillstånd för de livsmiljötyper som förtecknas i bilaga I till dess att minst 90 % är i gott tillstånd och till dess att den gynnsamma referensarealen för varje livsmiljötyp i varje biogeografisk region inom den berörda medlemsstaten har uppnåtts.</w:t>
      </w:r>
    </w:p>
    <w:p>
      <w:r>
        <w:t>Referenser</w:t>
      </w:r>
    </w:p>
    <w:p>
      <w:r>
        <w:t xml:space="preserve">EEA European Environment Agency, 2022. </w:t>
      </w:r>
      <w:r>
        <w:rPr>
          <w:i/>
        </w:rPr>
        <w:t xml:space="preserve">Western taiga – Conservation status 2013-2018. </w:t>
      </w:r>
      <w:r>
        <w:t>https:// eunis.eea.europoa.eu/habitats/10176.</w:t>
      </w:r>
    </w:p>
    <w:p>
      <w:r>
        <w:t>EU-domstolens dom av den 2 juli 2020 i målet C 477/19 (Europeisk hamster) p. 23.</w:t>
      </w:r>
    </w:p>
    <w:p>
      <w:r>
        <w:t>EU-domstolens dom av den 4 mars 2021 i de förenade målen C 473-19 och C 474-19 (Skydda skogen) p. 70 och 76.</w:t>
      </w:r>
    </w:p>
    <w:p>
      <w:r>
        <w:t>Europaparlamentets och rådets direktiv 2009/147/EG av den 30 november 2009 om bevarande av vilda fåglar.</w:t>
      </w:r>
    </w:p>
    <w:p>
      <w:r>
        <w:t>EUROPAPARLAMENTETS OCH RÅDETS FÖRORDNING (EU) 2024/1991 av den 24 juni 2024 om restaurering av natur och om ändring av förordning (EU) 2022/869.</w:t>
      </w:r>
    </w:p>
    <w:p>
      <w:r>
        <w:t>Rådets direktiv 92/43/EEG av den 21 mj 1992 om bevarande av livsmiljöer samt vilda djur och växter.</w:t>
      </w:r>
    </w:p>
    <w:p>
      <w:r>
        <w:t xml:space="preserve">Skogsstyrelsen, 2026. </w:t>
      </w:r>
      <w:r>
        <w:rPr>
          <w:i/>
        </w:rPr>
        <w:t>Biologisk mångfald i skogen.</w:t>
      </w:r>
      <w:r>
        <w:t xml:space="preserve"> Rapport 2026/07.</w:t>
      </w:r>
    </w:p>
    <w:p>
      <w:r>
        <w:t xml:space="preserve">SLU Artdatabanken, 2019. </w:t>
      </w:r>
      <w:r>
        <w:rPr>
          <w:i/>
        </w:rPr>
        <w:t>Sveriges arter och naturtyper i EU:s art- och habitatdirektiv.</w:t>
      </w:r>
      <w:r>
        <w:t xml:space="preserve"> Resultat från rapportering 2019 till EU av bevarandestatus 2013-2018.</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2026-10-14</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 Id="rId17" Type="http://schemas.openxmlformats.org/officeDocument/2006/relationships/image" Target="media/image2.jpe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