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tallbit (VU, §4), backtimjan (NT), björktrast (NT, §4), duvhök (NT, §4), entita (NT, §4), fiskmås (NT, §4), gulsparv (NT, §4), havsörn (NT, §4), kråka (NT, §4), mindre blåvinge (NT), motaggsvamp (NT), rödvingetrast (NT, §4), sexfläckig bastardsvärmare (NT), spillkråka (NT, §4), talltita (NT, §4), blomkålssvamp (S), större aspvedbock (S), gröngöling (§4), sångsvan (§4), huggorm (§6), kopparödla (§6) och skogsödla (§6).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duvhök (NT, §4), entita (NT, §4), fiskmås (NT, §4), gulsparv (NT, §4), havsörn (NT, §4), kråka (NT, §4), rödvingetrast (NT, §4), spillkråka (NT, §4), talltita (NT, §4), gröngöling (§4), sångsvan (§4), huggorm (§6), kopparödla (§6) och skogsödla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