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46392-2023 i Hallsbergs kommun</w:t>
      </w:r>
    </w:p>
    <w:p>
      <w:r>
        <w:t>Denna tillsynsbegäran behandlar höga naturvärden i avverkningsanmälan A 46392-2023 i Hallsbergs kommun som inkom 2023-09-28 och omfattar 18,2 ha.</w:t>
      </w:r>
    </w:p>
    <w:p>
      <w:pPr>
        <w:pStyle w:val="Caption"/>
      </w:pPr>
      <w:r>
        <w:drawing>
          <wp:inline xmlns:a="http://schemas.openxmlformats.org/drawingml/2006/main" xmlns:pic="http://schemas.openxmlformats.org/drawingml/2006/picture">
            <wp:extent cx="5486400" cy="4771848"/>
            <wp:docPr id="1" name="Picture 1"/>
            <wp:cNvGraphicFramePr>
              <a:graphicFrameLocks noChangeAspect="1"/>
            </wp:cNvGraphicFramePr>
            <a:graphic>
              <a:graphicData uri="http://schemas.openxmlformats.org/drawingml/2006/picture">
                <pic:pic>
                  <pic:nvPicPr>
                    <pic:cNvPr id="0" name="A 46392-2023 karta.png"/>
                    <pic:cNvPicPr/>
                  </pic:nvPicPr>
                  <pic:blipFill>
                    <a:blip r:embed="rId16"/>
                    <a:stretch>
                      <a:fillRect/>
                    </a:stretch>
                  </pic:blipFill>
                  <pic:spPr>
                    <a:xfrm>
                      <a:off x="0" y="0"/>
                      <a:ext cx="5486400" cy="477184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6545675, E 500266 i SWEREF 99 TM.</w:t>
      </w:r>
    </w:p>
    <w:p>
      <w:r>
        <w:t>I och inom 12 meter från avverkningsanmälan finns fynd av 12 naturvårdsarter, varav 3 är rödlistade, 11 är fridlysta, 4 är typiska (T) och 1 är signalart (S): entita (NT, T, §4), gulsparv (NT, §4), nordfladdermus (NT, §4a), tibast (S, T), blåsippa (T, §9), spillkråka (T, §4), dvärgpipistrell (§4a), kråka (§4), större brunfladdermus (§4a), vattenfladdermus (§4a), huggorm (§6)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