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tallbit (VU, §4), backtimjan (NT), björktrast (NT, §4), duvhök (NT, §4), entita (NT, §4), fiskmås (NT, §4), gulsparv (NT, §4), havsörn (NT, §4), kråka (NT, §4), mindre blåvinge (NT), motaggsvamp (NT), rödvingetrast (NT, §4), sexfläckig bastardsvärmare (NT), spillkråka (NT, §4), talltita (NT, §4), blomkålssvamp (S), större aspvedbock (S), gröngöling (§4), sångsvan (§4), huggorm (§6), kopparödla (§6) och skogsödla (§6).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duvhök (NT, §4), entita (NT, §4), fiskmås (NT, §4), gulsparv (NT, §4), havsörn (NT, §4), kråka (NT, §4), rödvingetrast (NT, §4), spillkråka (NT, §4), talltita (NT, §4), gröngöling (§4), sångsvan (§4), huggorm (§6),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