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61646-2023 i Hallsbergs kommun</w:t>
      </w:r>
    </w:p>
    <w:p>
      <w:r>
        <w:t>Denna tillsynsbegäran behandlar höga naturvärden i avverkningsanmälan A 61646-2023 i Hallsbergs kommun som inkom 2023-12-03 och omfattar 2,9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6553310, E 521404 i SWEREF 99 TM.</w:t>
      </w:r>
    </w:p>
    <w:p>
      <w:r>
        <w:t>I och inom 21 meter från avverkningsanmälan finns fynd av 14 naturvårdsarter, varav 4 är rödlistade, 2 är fridlysta, 8 är typiska (T) och 7 är signalarter (S): ask (EN), ekticka (NT, T), korallticka (NT), scharlakansvaxing (NT), gulfotsskölding (S), hasselticka (S, T), läderskål (S), stor aspticka (S, T), stubbspretmossa (S, T), svart trolldruva (S, T), vätteros (S, T), blåsippa (T, §9), ormbär (T)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Korallticka (NT)</w:t>
      </w:r>
      <w:r>
        <w:t xml:space="preserve"> visar på gamla ekar och lövskogsområden med gamla träd som har höga naturvärden. Värdträd, passande värdträd och olikåldriga bestånd med grov ek i hagmarks- och skogsmiljö sparas. För att säkerställa ekberoende arter på lång sikt måste fler bestånd med ek skyddas och skötas så att träden erhåller grova dimensioner och hög ålder (SLU Artdatabanken, 2024; Nitare &amp; Skogsstyrelsen, 2019).</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Ormbär</w:t>
      </w:r>
      <w:r>
        <w:t xml:space="preserve"> är typisk art för </w:t>
      </w:r>
      <w:r>
        <w:rPr>
          <w:i/>
        </w:rPr>
        <w:t xml:space="preserve">9050 Näringsrik granskog </w:t>
      </w:r>
      <w:r>
        <w:t>(SLU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hasselticka (S, T), stor aspticka (S, T), stubbspretmossa (S, T), svart trolldruva (S, T), vätteros (S, T), blåsippa (T, §9) och ormbär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