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5800-2026 i Degerfors kommun</w:t>
      </w:r>
    </w:p>
    <w:p>
      <w:r>
        <w:t>Detta klagomål behandlar höga naturvärden i avverkningsanmälan A 5800-2026 i Degerfors kommun som inkom 2026-01-29 och omfattar 17,7 ha.</w:t>
      </w:r>
    </w:p>
    <w:p>
      <w:pPr>
        <w:pStyle w:val="Caption"/>
      </w:pPr>
      <w:r>
        <w:drawing>
          <wp:inline xmlns:a="http://schemas.openxmlformats.org/drawingml/2006/main" xmlns:pic="http://schemas.openxmlformats.org/drawingml/2006/picture">
            <wp:extent cx="5486400" cy="4449672"/>
            <wp:docPr id="1" name="Picture 1"/>
            <wp:cNvGraphicFramePr>
              <a:graphicFrameLocks noChangeAspect="1"/>
            </wp:cNvGraphicFramePr>
            <a:graphic>
              <a:graphicData uri="http://schemas.openxmlformats.org/drawingml/2006/picture">
                <pic:pic>
                  <pic:nvPicPr>
                    <pic:cNvPr id="0" name="A 5800-2026 karta.png"/>
                    <pic:cNvPicPr/>
                  </pic:nvPicPr>
                  <pic:blipFill>
                    <a:blip r:embed="rId16"/>
                    <a:stretch>
                      <a:fillRect/>
                    </a:stretch>
                  </pic:blipFill>
                  <pic:spPr>
                    <a:xfrm>
                      <a:off x="0" y="0"/>
                      <a:ext cx="5486400" cy="444967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6572675, E 467204 i SWEREF 99 TM.</w:t>
      </w:r>
    </w:p>
    <w:p>
      <w:r>
        <w:t>I och inom 25 meter från avverkningsanmälan finns fynd av 14 naturvårdsarter, varav 3 är rödlistade, 4 är fridlysta, 9 är typiska (T) och 7 är signalarter (S): ask (EN), gullpudra (NT, T), rynkskinn (NT, T), bronshjon (S, T), grönpyrola (S, T), stubbspretmossa (S, T), svart trolldruva (S, T), vedticka (S, T), västlig hakmossa (S), vågbandad barkbock (S), blåsippa (T, §9), spillkråka (T, §4),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