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23008-2026 i Degerfors kommun</w:t>
      </w:r>
    </w:p>
    <w:p>
      <w:r>
        <w:t>Denna tillsynsbegäran behandlar höga naturvärden i avverkningsanmälan A 23008-2026 i Degerfors kommun som inkom 2026-05-19 och omfattar 2,4 ha.</w:t>
      </w:r>
    </w:p>
    <w:p>
      <w:pPr>
        <w:pStyle w:val="Caption"/>
      </w:pPr>
      <w:r>
        <w:drawing>
          <wp:inline xmlns:a="http://schemas.openxmlformats.org/drawingml/2006/main" xmlns:pic="http://schemas.openxmlformats.org/drawingml/2006/picture">
            <wp:extent cx="5214544" cy="5724000"/>
            <wp:docPr id="1" name="Picture 1"/>
            <wp:cNvGraphicFramePr>
              <a:graphicFrameLocks noChangeAspect="1"/>
            </wp:cNvGraphicFramePr>
            <a:graphic>
              <a:graphicData uri="http://schemas.openxmlformats.org/drawingml/2006/picture">
                <pic:pic>
                  <pic:nvPicPr>
                    <pic:cNvPr id="0" name="A 23008-2026 karta.png"/>
                    <pic:cNvPicPr/>
                  </pic:nvPicPr>
                  <pic:blipFill>
                    <a:blip r:embed="rId16"/>
                    <a:stretch>
                      <a:fillRect/>
                    </a:stretch>
                  </pic:blipFill>
                  <pic:spPr>
                    <a:xfrm>
                      <a:off x="0" y="0"/>
                      <a:ext cx="5214544"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6553479, E 468637 i SWEREF 99 TM.</w:t>
      </w:r>
    </w:p>
    <w:p>
      <w:r>
        <w:t>I och inom 14 meter från avverkningsanmälan finns fynd av 9 naturvårdsarter, varav 4 är rödlistade, 7 är fridlysta, 5 är typiska (T) och 1 är signalart (S): björktrast (NT, §4), duvhök (NT, §4), talltita (NT, §4), vedskivlav (NT, T), brandticka (S), nattskärra (T, §4), spillkråka (T, §4), tjäder (T, §4) och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vedskivlav (NT, T), nattskärra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