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50106-2023 i Degerfors kommun</w:t>
      </w:r>
    </w:p>
    <w:p>
      <w:r>
        <w:t>Detta dokument behandlar höga naturvärden i avverkningsanmälan A 50106-2023 i Degerfors kommun. Denna avverkningsanmälan inkom 2023-10-16 och omfattar 6,2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dropptaggsvamp (S), grönpyrola (S) och tjäder (§4).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08772"/>
            <wp:docPr id="1" name="Picture 1"/>
            <wp:cNvGraphicFramePr>
              <a:graphicFrameLocks noChangeAspect="1"/>
            </wp:cNvGraphicFramePr>
            <a:graphic>
              <a:graphicData uri="http://schemas.openxmlformats.org/drawingml/2006/picture">
                <pic:pic>
                  <pic:nvPicPr>
                    <pic:cNvPr id="0" name="A 50106-2023 karta.png"/>
                    <pic:cNvPicPr/>
                  </pic:nvPicPr>
                  <pic:blipFill>
                    <a:blip r:embed="rId16"/>
                    <a:stretch>
                      <a:fillRect/>
                    </a:stretch>
                  </pic:blipFill>
                  <pic:spPr>
                    <a:xfrm>
                      <a:off x="0" y="0"/>
                      <a:ext cx="5486400" cy="55087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6547578, E 469204 i SWEREF 99 TM.</w:t>
      </w:r>
    </w:p>
    <w:p>
      <w:pPr>
        <w:pStyle w:val="Heading1"/>
      </w:pPr>
      <w:r>
        <w:t>Fridlysta arter</w:t>
      </w:r>
    </w:p>
    <w:p>
      <w:r>
        <w:t>Följande fridlysta arter har sina livsmiljöer och växtplatser i den avverkningsanmälda skogen: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t>I BILAGA 1 finns mer detaljerad information om ekologi samt krav på livsmiljö hos fridlysta arter.</w:t>
      </w:r>
    </w:p>
    <w:p>
      <w:r>
        <w:br w:type="page"/>
      </w:r>
    </w:p>
    <w:p>
      <w:pPr>
        <w:pStyle w:val="Title"/>
      </w:pPr>
      <w:r>
        <w:t>BILAGA 1 – Fridlysta arter</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