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29739-2026 i Hällefors kommun</w:t>
      </w:r>
    </w:p>
    <w:p>
      <w:r>
        <w:t>Detta klagomål behandlar höga naturvärden i avverkningsanmälan A 29739-2026 i Hällefors kommun som inkom 2026-07-01 och omfattar 6,7 ha.</w:t>
      </w:r>
    </w:p>
    <w:p>
      <w:pPr>
        <w:pStyle w:val="Caption"/>
      </w:pPr>
      <w:r>
        <w:drawing>
          <wp:inline xmlns:a="http://schemas.openxmlformats.org/drawingml/2006/main" xmlns:pic="http://schemas.openxmlformats.org/drawingml/2006/picture">
            <wp:extent cx="5486400" cy="4513554"/>
            <wp:docPr id="1" name="Picture 1"/>
            <wp:cNvGraphicFramePr>
              <a:graphicFrameLocks noChangeAspect="1"/>
            </wp:cNvGraphicFramePr>
            <a:graphic>
              <a:graphicData uri="http://schemas.openxmlformats.org/drawingml/2006/picture">
                <pic:pic>
                  <pic:nvPicPr>
                    <pic:cNvPr id="0" name="A 29739-2026 karta.png"/>
                    <pic:cNvPicPr/>
                  </pic:nvPicPr>
                  <pic:blipFill>
                    <a:blip r:embed="rId16"/>
                    <a:stretch>
                      <a:fillRect/>
                    </a:stretch>
                  </pic:blipFill>
                  <pic:spPr>
                    <a:xfrm>
                      <a:off x="0" y="0"/>
                      <a:ext cx="5486400" cy="45135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6596424, E 480969 i SWEREF 99 TM.</w:t>
      </w:r>
    </w:p>
    <w:p>
      <w:r>
        <w:t>I och inom 25 meter från avverkningsanmälan finns fynd av 17 naturvårdsarter, varav 5 är rödlistade, 9 är fridlysta, 13 är typiska (T) och 4 är signalarter (S): garnlav (VU, T), tallriska (NT), talltita (NT, §4), tretåig hackspett (NT, T, §4), vedskivlav (NT, T), bronshjon (S, T), flagellkvastmossa (S, T), plattlummer (S, T, §9), vedticka (S, T), järpe (T, §4), mattlummer (T, §9), missne (T), skogsstjärna (T), spillkråka (T, §4), tjäder (T, §4), smålom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