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30 naturvårdsarter, varav 14 är rödlistade, 9 är fridlysta, 19 är typiska (T) och 10 är signalarter (S): garnlav (VU, T), gränsticka (VU, T), drillsnäppa (NT, §4), kolflarnlav (NT, T), mörk kolflarnlav (NT), rödbrun blekspik (NT, T), skogshare (NT), skuggblåslav (NT, T), talltita (NT, §4), tretåig hackspett (NT, T, §4), ullticka (NT, T), vedflamlav (NT), vedskivlav (NT, T), vedtrappmossa (NT, T), björksplintborre (S), bårdlav (S, T), korallblylav (S, T), mörk husmossa (S, T), rävticka (S, T), stor revmossa (S), stuplav (S, T), vedticka (S, T), västlig hakmossa (S), vågbandad barkbock (S), järpe (T, §4), mattlummer (T, §9), spillkråka (T, §4),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