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421-2025 i Hällefors kommun</w:t>
      </w:r>
    </w:p>
    <w:p>
      <w:r>
        <w:t>Denna tillsynsbegäran behandlar höga naturvärden i avverkningsanmälan A 421-2025 i Hällefors kommun som inkom 2025-01-06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634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634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6635139, E 471849 i SWEREF 99 TM.</w:t>
      </w:r>
    </w:p>
    <w:p>
      <w:r>
        <w:t>I avverkningsanmälan finns fynd av 1 naturvårdsarter, varav 1 är typisk (T) och 1 är signalart (S): blek stjärnmossa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Blek stjärnmossa</w:t>
      </w:r>
      <w:r>
        <w:t xml:space="preserve"> påträffas på skuggiga och något fuktiga platser i skog, till exempel i fuktiga klippspringor, skrevor och håligheter. I strandskog växer den även på trädrötter och i branter på jord under till exempel hasselbuskar. Arten tycks trivas bäst i ädellövnaturskog samt i ädellövskog på kalkrik mark och i grönstensbranter. Artens miljöer brukar hysa flera ovanliga och rödlistade arter. Blek stjärnmossa är typisk art för </w:t>
      </w:r>
      <w:r>
        <w:rPr>
          <w:i/>
        </w:rPr>
        <w:t>9160 Näringsrik ekskog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