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14340-2026 i Hällefors kommun</w:t>
      </w:r>
    </w:p>
    <w:p>
      <w:r>
        <w:t>Detta dokument behandlar höga naturvärden i avverkningsanmälan A 14340-2026 i Hällefors kommun. Denna avverkningsanmälan inkom 2026-03-19 07:52:35 och omfattar 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tretåig hackspett (NT, §4) och vedskivlav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4362"/>
            <wp:docPr id="1" name="Picture 1"/>
            <wp:cNvGraphicFramePr>
              <a:graphicFrameLocks noChangeAspect="1"/>
            </wp:cNvGraphicFramePr>
            <a:graphic>
              <a:graphicData uri="http://schemas.openxmlformats.org/drawingml/2006/picture">
                <pic:pic>
                  <pic:nvPicPr>
                    <pic:cNvPr id="0" name="A 14340-2026 karta.png"/>
                    <pic:cNvPicPr/>
                  </pic:nvPicPr>
                  <pic:blipFill>
                    <a:blip r:embed="rId16"/>
                    <a:stretch>
                      <a:fillRect/>
                    </a:stretch>
                  </pic:blipFill>
                  <pic:spPr>
                    <a:xfrm>
                      <a:off x="0" y="0"/>
                      <a:ext cx="5486400" cy="33643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6597854, E 480244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