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51567-2025 i Hällefors kommun</w:t>
      </w:r>
    </w:p>
    <w:p>
      <w:r>
        <w:t>Detta klagomål behandlar höga naturvärden i avverkningsanmälan A 51567-2025 i Hällefors kommun som inkom 2025-10-21 och omfattar 12,1 ha.</w:t>
      </w:r>
    </w:p>
    <w:p>
      <w:pPr>
        <w:pStyle w:val="Caption"/>
      </w:pPr>
      <w:r>
        <w:drawing>
          <wp:inline xmlns:a="http://schemas.openxmlformats.org/drawingml/2006/main" xmlns:pic="http://schemas.openxmlformats.org/drawingml/2006/picture">
            <wp:extent cx="5486400" cy="5535861"/>
            <wp:docPr id="1" name="Picture 1"/>
            <wp:cNvGraphicFramePr>
              <a:graphicFrameLocks noChangeAspect="1"/>
            </wp:cNvGraphicFramePr>
            <a:graphic>
              <a:graphicData uri="http://schemas.openxmlformats.org/drawingml/2006/picture">
                <pic:pic>
                  <pic:nvPicPr>
                    <pic:cNvPr id="0" name="A 51567-2025 karta.png"/>
                    <pic:cNvPicPr/>
                  </pic:nvPicPr>
                  <pic:blipFill>
                    <a:blip r:embed="rId16"/>
                    <a:stretch>
                      <a:fillRect/>
                    </a:stretch>
                  </pic:blipFill>
                  <pic:spPr>
                    <a:xfrm>
                      <a:off x="0" y="0"/>
                      <a:ext cx="5486400" cy="553586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6596599, E 480412 i SWEREF 99 TM.</w:t>
      </w:r>
    </w:p>
    <w:p>
      <w:r>
        <w:t>I och inom 25 meter från avverkningsanmälan finns fynd av 15 naturvårdsarter, varav 9 är rödlistade, 5 är fridlysta, 12 är typiska (T) och 3 är signalarter (S): garnlav (VU, T), norsk näverlav (VU), dvärgbägarlav (NT, T), kolflarnlav (NT, T), motaggsvamp (NT, T), skuggblåslav (NT, T), talltita (NT, §4), tretåig hackspett (NT, T, §4), vedskivlav (NT, T), bronshjon (S, T), stor revmossa (S), vedticka (S, T), järpe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