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som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68 naturvårdsarter hittats: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3339"/>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393333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2"/>
      </w:pPr>
      <w:r>
        <w:t>Fridlysta arter</w:t>
      </w:r>
    </w:p>
    <w:p>
      <w:r>
        <w:t>Följande fridlysta arter har sina livsmiljöer och växtplatser i den avverkningsanmälda skogen: knärot (VU, T, §8), väddnätfjäril (VU, §6), duvhök (NT, §4), ladusvala (NT, §4), mindre hackspett (NT, T, §4), talltita (NT, §4), grön sköldmossa (S, T, §8), skogsknipprot (S, T, §8), tvåblad (S, §8), blåsippa (T, §9), järpe (T, §4), spillkråka (T, §4), tjäder (T, §4), svartvit flugsnappare (§4), ärtsångare (§4), dubbelnycklar (§8), fläcknycklar (§8), käppkrokmossa (§8), ängsnycklar (§8),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