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56863-2024 i Hällefors kommun</w:t>
      </w:r>
    </w:p>
    <w:p>
      <w:r>
        <w:t>Detta dokument behandlar höga naturvärden i avverkningsanmälan A 56863-2024 i Hällefors kommun. Denna avverkningsanmälan inkom 2024-12-02 00:00:00 och omfattar 6,7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50 naturvårdsarter hittats: skogsalm (CR), blå säckmossa (VU), flikbålmossa (VU), knärot (VU, §8), brunpudrad nållav (NT), dofttaggsvamp (NT), gultoppig fingersvamp (NT), järpe (NT, §4), mindre hackspett (NT, §4), platt spretmossa (NT), spillkråka (NT, §4), svart taggsvamp (NT), svartvit taggsvamp (NT), talltita (NT, §4), veckticka (NT), vedtrappmossa (NT), ärtsångare (NT, §4), bårdlav (S), dofttråding (S), dropptaggsvamp (S), dvärgtufs (S), grön sköldmossa (S, §8), huvudlik svampklubba (S), källpraktmossa (S), mörk husmossa (S), rostfläck (S), rödfläckig zontaggsvamp (S), rödgul trumpetsvamp (S), skarp dropptaggsvamp (S), skogshakmossa (S), skogsknipprot (S, §8), sotriska (S), strimspindling (S), stubbspretmossa (S), svart trolldruva (S), svavelriska (S), terpentinmossa (S), tibast (S), trind spretmossa (S), tvåblad (S, §8), underviol (S), vanlig rörsvepemossa (S), vedticka (S), vätteros (S), vårärt (S), tjäder (§4), fläcknycklar (§8), blåsippa (§9), revlummer (§9) och äkta lopplummer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6863-2024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6609519, E 471296 i SWEREF 99 TM.</w:t>
      </w:r>
    </w:p>
    <w:p>
      <w:r>
        <w:rPr>
          <w:b/>
        </w:rPr>
        <w:t>Blå säckmossa (VU)</w:t>
      </w:r>
      <w:r>
        <w:t xml:space="preserve"> växer vanligen på fuktig humus eller lerblandad jord i granskog men även på lövförna i sumpalskog, gärna i anslutning till källor eller andra utströmningsområden. Liksom övriga säckmossor tål arten varken uttorkning eller full solbelysning någon längre tid. Till skillnad från övriga arter i släktet föredrar blå säckmossa relativt näringsrika skogar och ofta skogsmiljöer med rörligt grundvatten. Största hotet utgörs av kalavverkning och andra skogliga brukningsformer som innebär kraftig ljusexponering av växtplatserna eller som gör att plantorna torkar upp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Platt spretmossa (NT)</w:t>
      </w:r>
      <w:r>
        <w:t xml:space="preserve"> omfattas av EU:s art- och habitatdirektiv där dess bevarandestatus är otillfredsställande med negativ trend. Arten växer på murken ved eller på torvrik jord på fuktiga eller mycket fuktiga och skuggiga platser, ofta i al- och gransumpskogar med periodvis översvämning, eller utmed vattendrag. Den hotas av uthuggning, torrläggning och avverkning av sumpskogar. Platt spretmossa är rödlistad som nära hotad (NT) i den europeiska rödlistan (SLU Artdatabanken, 2024; IUCN,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Terpentinmossa</w:t>
      </w:r>
      <w:r>
        <w:t xml:space="preserve"> signalerar alltid biotoper med höga naturvärden och dess lokaler bör alltid uppmärksammas som nyckelbiotoper. Den indikerar områden med konstant beskuggning och god tillgång på murken, fuktig ved och tål inte avverkning och markberedning. Sverige har ett internationellt ansvar för arten, då en relativt stor andel av den europeiska populationen troligen finns i vårt land. Terpentinmossa är rödlistad som nära hotad (NT) på den europeiska rödlistan (Nitare &amp; Skogsstyrelsen, 2019; IUCN,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Vanlig rörsvepemossa </w:t>
      </w:r>
      <w:r>
        <w:t>signalerar överallt skog med höga naturvärden och indikerar bestånd som haft kontinuerligt god tillgång på murken ved, konstant hög luftfuktighet och beskuggad näringsrik mark. Där den växer finns oftast en rad andra rödlistade och skyddsvärda mossor. Arten är känslig för större avverkningar men tål ofta plockhuggning som bevarar ett tätare trädskikt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järpe (NT, §4), mindre hackspett (NT, §4), spillkråka (NT, §4), talltita (NT, §4), ärtsångare (NT, §4), grön sköldmossa (S, §8), skogsknipprot (S, §8), tvåblad (S, §8), tjäder (§4), fläcknycklar (§8), blåsippa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6487612"/>
            <wp:docPr id="2" name="Picture 2"/>
            <wp:cNvGraphicFramePr>
              <a:graphicFrameLocks noChangeAspect="1"/>
            </wp:cNvGraphicFramePr>
            <a:graphic>
              <a:graphicData uri="http://schemas.openxmlformats.org/drawingml/2006/picture">
                <pic:pic>
                  <pic:nvPicPr>
                    <pic:cNvPr id="0" name="A 56863-2024 karta knärot.png"/>
                    <pic:cNvPicPr/>
                  </pic:nvPicPr>
                  <pic:blipFill>
                    <a:blip r:embed="rId17"/>
                    <a:stretch>
                      <a:fillRect/>
                    </a:stretch>
                  </pic:blipFill>
                  <pic:spPr>
                    <a:xfrm>
                      <a:off x="0" y="0"/>
                      <a:ext cx="5486400" cy="64876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6609519, E 471296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