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59521-2025 i Hällefors kommun</w:t>
      </w:r>
    </w:p>
    <w:p>
      <w:r>
        <w:t>Detta dokument behandlar höga naturvärden i avverkningsanmälan A 59521-2025 i Hällefors kommun. Denna avverkningsanmälan inkom 2025-11-28 15:47:33 och omfattar 8,8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gråspett (§4) och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08175"/>
            <wp:docPr id="1" name="Picture 1"/>
            <wp:cNvGraphicFramePr>
              <a:graphicFrameLocks noChangeAspect="1"/>
            </wp:cNvGraphicFramePr>
            <a:graphic>
              <a:graphicData uri="http://schemas.openxmlformats.org/drawingml/2006/picture">
                <pic:pic>
                  <pic:nvPicPr>
                    <pic:cNvPr id="0" name="A 59521-2025 karta.png"/>
                    <pic:cNvPicPr/>
                  </pic:nvPicPr>
                  <pic:blipFill>
                    <a:blip r:embed="rId16"/>
                    <a:stretch>
                      <a:fillRect/>
                    </a:stretch>
                  </pic:blipFill>
                  <pic:spPr>
                    <a:xfrm>
                      <a:off x="0" y="0"/>
                      <a:ext cx="5486400" cy="52081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6598043, E 481681 i SWEREF 99 TM.</w:t>
      </w:r>
    </w:p>
    <w:p>
      <w:pPr>
        <w:pStyle w:val="Heading1"/>
      </w:pPr>
      <w:r>
        <w:t>Fridlysta arter</w:t>
      </w:r>
    </w:p>
    <w:p>
      <w:r>
        <w:t>Följande fridlysta arter har sina livsmiljöer och växtplatser i den avverkningsanmälda skogen: gråspett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Gråspett (§4)</w:t>
      </w:r>
      <w:r>
        <w:t xml:space="preserve"> är fridlyst enligt 4§ artskyddsförordningen och upptagen i bilaga 1 fågeldirektivet. Gråspetten är en bra indikator för lövrika områden på landskapsnivå och försvinner när gles, flerskiktad, lövrik skog med hög andel döda och döende träd ersätts av täta, barrdominerade likåldriga bestånd. Arten missgynnas av skogliga åtgärder som minskar mängden död ved, som t.ex. bortrensning av vindfällen, avverkning i sumpskogsmiljöer och på brandfält. Häckningsreviret är stort, cirka 50–100 hektar. Under vintern är gråspetten mer beroende av äldre skog och döda träd och kan då röra sig över betydligt större områden, uppemot 2000–5000 hektar. Gråspett är typisk art för </w:t>
      </w:r>
      <w:r>
        <w:rPr>
          <w:i/>
        </w:rPr>
        <w:t xml:space="preserve">9010 Taiga </w:t>
      </w:r>
      <w:r>
        <w:t>(Skogsstyrelsen, 2016;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