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45260-2026 i Hällefors kommun</w:t>
      </w:r>
    </w:p>
    <w:p>
      <w:r>
        <w:t>Detta klagomål behandlar höga naturvärden i avverkningsanmälan A 45260-2026 i Hällefors kommun som inkom 2026-10-30 och omfattar 6,5 ha.</w:t>
      </w:r>
    </w:p>
    <w:p>
      <w:pPr>
        <w:pStyle w:val="Caption"/>
      </w:pPr>
      <w:r>
        <w:drawing>
          <wp:inline xmlns:a="http://schemas.openxmlformats.org/drawingml/2006/main" xmlns:pic="http://schemas.openxmlformats.org/drawingml/2006/picture">
            <wp:extent cx="4266445" cy="5724000"/>
            <wp:docPr id="1" name="Picture 1"/>
            <wp:cNvGraphicFramePr>
              <a:graphicFrameLocks noChangeAspect="1"/>
            </wp:cNvGraphicFramePr>
            <a:graphic>
              <a:graphicData uri="http://schemas.openxmlformats.org/drawingml/2006/picture">
                <pic:pic>
                  <pic:nvPicPr>
                    <pic:cNvPr id="0" name="A 45260-2026 karta.png"/>
                    <pic:cNvPicPr/>
                  </pic:nvPicPr>
                  <pic:blipFill>
                    <a:blip r:embed="rId16"/>
                    <a:stretch>
                      <a:fillRect/>
                    </a:stretch>
                  </pic:blipFill>
                  <pic:spPr>
                    <a:xfrm>
                      <a:off x="0" y="0"/>
                      <a:ext cx="426644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6600649, E 477707 i SWEREF 99 TM.</w:t>
      </w:r>
    </w:p>
    <w:p>
      <w:r>
        <w:t>I och inom 24 meter från avverkningsanmälan finns fynd av 14 naturvårdsarter, varav 4 är rödlistade, 5 är fridlysta, 9 är typiska (T) och 4 är signalarter (S): skogsalm (EN), lunglavsknapp (VU), lunglav (NT, T), skrovellav (NT, T), korallblylav (S, T), stuplav (S, T), vedticka (S, T), västlig hakmossa (S), blåsippa (T, §9), järpe (T, §4), kötticka (aggregat) (T), tjäder (T, §4), smålom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