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56863-2024 i Hällefors kommun</w:t>
      </w:r>
    </w:p>
    <w:p>
      <w:r>
        <w:t>Detta klagomål behandlar höga naturvärden i avverkningsanmälan A 56863-2024 i Hällefors kommun som inkom 2024-12-02 och omfattar 6,7 ha.</w:t>
      </w:r>
    </w:p>
    <w:p>
      <w:pPr>
        <w:pStyle w:val="Caption"/>
      </w:pPr>
      <w:r>
        <w:drawing>
          <wp:inline xmlns:a="http://schemas.openxmlformats.org/drawingml/2006/main" xmlns:pic="http://schemas.openxmlformats.org/drawingml/2006/picture">
            <wp:extent cx="5486400" cy="4405211"/>
            <wp:docPr id="1" name="Picture 1"/>
            <wp:cNvGraphicFramePr>
              <a:graphicFrameLocks noChangeAspect="1"/>
            </wp:cNvGraphicFramePr>
            <a:graphic>
              <a:graphicData uri="http://schemas.openxmlformats.org/drawingml/2006/picture">
                <pic:pic>
                  <pic:nvPicPr>
                    <pic:cNvPr id="0" name="A 56863-2024 karta.png"/>
                    <pic:cNvPicPr/>
                  </pic:nvPicPr>
                  <pic:blipFill>
                    <a:blip r:embed="rId16"/>
                    <a:stretch>
                      <a:fillRect/>
                    </a:stretch>
                  </pic:blipFill>
                  <pic:spPr>
                    <a:xfrm>
                      <a:off x="0" y="0"/>
                      <a:ext cx="5486400" cy="440521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6609519, E 471296 i SWEREF 99 TM.</w:t>
      </w:r>
    </w:p>
    <w:p>
      <w:r>
        <w:t>I och inom 25 meter från avverkningsanmälan finns fynd av 74 naturvårdsarter, varav 28 är rödlistade, 24 är fridlysta, 35 är typiska (T) och 31 är signalarter (S): skogsalm (EN), knärot (VU, T, §8), väddnätfjäril (VU, §6), barrviolspindling (NT), blå säckmossa (NT), brunpudrad nållav (NT, T), dofttaggsvamp (NT, T), dropptaggsvamp (NT, T), duvhök (NT, §4), fjällig taggsvamp s.str. (NT), flikbålmossa (NT), gullpudra (NT, T), gultoppig fingersvamp (NT), järnsparv (NT, §4), ladusvala (NT, §4), mindre hackspett (NT, T, §4), platt spretmossa (NT, T), rödfläckig zontaggsvamp (NT), skarp dropptaggsvamp (NT), sotnätfjäril (NT), sparvuggla (NT, §4), svart skogssnigel (NT), svartvit taggsvamp (NT), talltita (NT, §4), veckticka (NT, T), vedskivlav (NT, T), vedtrappmossa (NT, T), vårärt (NT, T), björksplintborre (S), bårdlav (S, T), dofttråding (S), dvärgtufs (S), grön sköldmossa (S, T, §8), huvudlik svampklubba (S), kamtuffmossa (S), kantarellvaxing (S), källpraktmossa (S, T), mörk husmossa (S, T), piskbaronmossa (S, T), rostfläck (S, T), rödgul trumpetsvamp (S), skinnlav (S, T), skogshakmossa (S, T), skogsknipprot (S, T, §8), smal svampklubba (S), sotriska (S), strimspindling (S), stubbspretmossa (S, T), svart trolldruva (S, T), svavelriska (S), terpentinmossa (S, T), tibast (S, T), trind spretmossa (S), tvåblad (S, §8), underviol (S, T), vanlig rörsvepemossa (S, T), vedticka (S, T), vätteros (S, T), ögonpyrola (S, T), blåsippa (T, §9), järpe (T, §4), repestarr (T), spillkråka (T, §4), svart taggsvamp agg. (T), tjäder (T, §4), svartvit flugsnappare (§4), ärtsångare (§4), dubbelnycklar (§8), fläcknycklar (§8), käppkrokmossa (§8), ängsnycklar (§8), lopplummer (aggregat) (§9), revlummer (§9)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6487373"/>
            <wp:docPr id="2" name="Picture 2"/>
            <wp:cNvGraphicFramePr>
              <a:graphicFrameLocks noChangeAspect="1"/>
            </wp:cNvGraphicFramePr>
            <a:graphic>
              <a:graphicData uri="http://schemas.openxmlformats.org/drawingml/2006/picture">
                <pic:pic>
                  <pic:nvPicPr>
                    <pic:cNvPr id="0" name="A 56863-2024 karta knärot.png"/>
                    <pic:cNvPicPr/>
                  </pic:nvPicPr>
                  <pic:blipFill>
                    <a:blip r:embed="rId17"/>
                    <a:stretch>
                      <a:fillRect/>
                    </a:stretch>
                  </pic:blipFill>
                  <pic:spPr>
                    <a:xfrm>
                      <a:off x="0" y="0"/>
                      <a:ext cx="5486400" cy="64873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6609519, E 471296 i SWEREF 99 TM.</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Blå säckmossa (NT)</w:t>
      </w:r>
      <w:r>
        <w:t xml:space="preserve"> växer vanligen på fuktig humus eller lerblandad jord i granskog men även på lövförna i sumpalskog, gärna i anslutning till källor eller andra utströmningsområden. Liksom övriga säckmossor tål arten varken uttorkning eller full solbelysning någon längre tid. Till skillnad från övriga arter i släktet föredrar blå säckmossa relativt näringsrika skogar och ofta skogsmiljöer med rörligt grundvatten. Största hotet utgörs av kalavverkning och andra skogliga brukningsformer som innebär kraftig ljusexponering av växtplatserna eller som gör att plantorna torkar upp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Flikbålmossa (NT)</w:t>
      </w:r>
      <w:r>
        <w:t xml:space="preserve"> växer i rikkärr, källkärr och sumpskog. Arten förekommer främst i södra Sverige (sällsynt i Norrland). Dikning och igenväxning av rikkärr och minskning av sumpskog och källor i södra Sverige gör att arten bedöms ha en fortgående minskning (SLU Artdatabanken, 2026).</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Piskbaronmossa</w:t>
      </w:r>
      <w:r>
        <w:t xml:space="preserve"> indikerar skog med lång kontinuitet och biotoper med höga naturvärden. Den växer mest i skuggig skogsmiljö, antingen i äldre ädellövskog på till exempel gammelträd eller i branter där det finns neutrala eller basiska bergarter. Piskbaronmossa är typisk art för </w:t>
      </w:r>
      <w:r>
        <w:rPr>
          <w:i/>
        </w:rPr>
        <w:t>9020 Nordlig ädellövskog, 9080 Lövsumpskog, 9130 Näringsrik bokskog, 9160 Näringsrik ekskog, 9180 Ädellövskog i branter</w:t>
      </w:r>
      <w:r>
        <w:t xml:space="preserve"> och</w:t>
      </w:r>
      <w:r>
        <w:rPr>
          <w:i/>
        </w:rPr>
        <w:t xml:space="preserve"> 9750 Svämlövskog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Terpentinmossa</w:t>
      </w:r>
      <w:r>
        <w:t xml:space="preserve"> signalerar alltid biotoper med höga naturvärden och dess lokaler bör alltid uppmärksammas som nyckelbiotoper. Den indikerar områden med konstant beskuggning och god tillgång på murken, fuktig ved och tål inte avverkning och markberedning. Sverige har ett internationellt ansvar för arten, då en relativt stor andel av den europeiska populationen troligen finns i vårt land. Terpentinmossa är rödlistad som nära hotad (NT) på den europeiska rödlistan och typisk art för </w:t>
      </w:r>
      <w:r>
        <w:rPr>
          <w:i/>
        </w:rPr>
        <w:t xml:space="preserve">9010 Taiga, 9080 Lövsumpskog </w:t>
      </w:r>
      <w:r>
        <w:t xml:space="preserve">och </w:t>
      </w:r>
      <w:r>
        <w:rPr>
          <w:i/>
        </w:rPr>
        <w:t>9750 Svämlövskog</w:t>
      </w:r>
      <w:r>
        <w:t xml:space="preserve"> (Nitare &amp; Skogsstyrelsen, 2019; IUCN,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Trind spretmossa </w:t>
      </w:r>
      <w:r>
        <w:t>kräver ett konstant fuktigt mikroklimat och påträffas ofta i skogsbiotoper med höga naturvärden, till exempel i skuggiga raviner och kanjondalar med välutvecklade mossmattor. Rika förekomster av trind spretmossa indikerar miljöer med lång kontinuitet av hög luftfuktighet, och därmed ofta höga naturvärden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 xml:space="preserve">Repestarr </w:t>
      </w:r>
      <w:r>
        <w:t xml:space="preserve">är typisk art för </w:t>
      </w:r>
      <w:r>
        <w:rPr>
          <w:i/>
        </w:rPr>
        <w:t xml:space="preserve">9080 Lövsumpskog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59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74 naturvårdsarter varav 28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