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58690-2024 i Ljusnarsbergs kommun</w:t>
      </w:r>
    </w:p>
    <w:p>
      <w:r>
        <w:t>Detta dokument behandlar höga naturvärden i avverkningsanmälan A 58690-2024 i Ljusnarsbergs kommun. Denna avverkningsanmälan inkom 2024-12-09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fältgentiana (EN), purpurknipprot (S, §8), tvåblad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58690-2024 karta.png"/>
                    <pic:cNvPicPr/>
                  </pic:nvPicPr>
                  <pic:blipFill>
                    <a:blip r:embed="rId16"/>
                    <a:stretch>
                      <a:fillRect/>
                    </a:stretch>
                  </pic:blipFill>
                  <pic:spPr>
                    <a:xfrm>
                      <a:off x="0" y="0"/>
                      <a:ext cx="5486400" cy="4313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6649770, E 488737 i SWEREF 99 TM.</w:t>
      </w:r>
    </w:p>
    <w:p>
      <w:pPr>
        <w:pStyle w:val="Heading1"/>
      </w:pPr>
      <w:r>
        <w:t>Fridlysta arter</w:t>
      </w:r>
    </w:p>
    <w:p>
      <w:r>
        <w:t>Följande fridlysta arter har sina livsmiljöer och växtplatser i den avverkningsanmälda skogen: purpurknipprot (S, §8), tvåblad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