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som inkom 2026-04-21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hussvala (VU, §4), tornseglare (VU, §4), enkelbeckasin (NT, §4), grönsångare (NT, §4), grön sköldmossa (S, T, §8), trådticka (S, T), mindre flugsnappare (T, §4), spillkråka (T, §4), tofsmes (T, §4), grönsiska (§4), kungsfågel (§4), smålom (§4), svartvit flugsnappare (§4) och trana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6631049, E 498542 i SWEREF 99 TM.</w:t>
      </w:r>
    </w:p>
    <w:p>
      <w:pPr>
        <w:pStyle w:val="Heading2"/>
      </w:pPr>
      <w:r>
        <w:t>Fridlysta arter</w:t>
      </w:r>
    </w:p>
    <w:p>
      <w:r>
        <w:t>Följande fridlysta arter har sina livsmiljöer och växtplatser i den avverkningsanmälda skogen: hussvala (VU, §4), tornseglare (VU, §4), enkelbeckasin (NT, §4), grönsångare (NT, §4), grön sköldmossa (S, T, §8), mindre flugsnappare (T, §4), spillkråka (T, §4), tofsmes (T, §4), grönsiska (§4), kungsfågel (§4), smålom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