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13233-2023 i Ljusnarsbergs kommun</w:t>
      </w:r>
    </w:p>
    <w:p>
      <w:r>
        <w:t>Detta dokument behandlar höga naturvärden i avverkningsanmälan A 13233-2023 i Ljusnarsbergs kommun. Denna avverkningsanmälan inkom 2023-03-17 17:32:10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tunnvingemätare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3233-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6641899, E 501630 i SWEREF 99 TM.</w:t>
      </w:r>
    </w:p>
    <w:p>
      <w:r>
        <w:rPr>
          <w:b/>
        </w:rPr>
        <w:t>Tunnvingemätare (VU)</w:t>
      </w:r>
      <w:r>
        <w:t xml:space="preserve"> är knuten till äldre granskogar och kontinuitetsskogar som inte kalavverkats i sin helhet utan brukats med alternativa brukningsmetoder. Eftersom honan är vinglös har arten mycket svårt att sprida sig till nya lämpliga biotoper i ett fragmenterat skogslandskap och avverkning av kontinuitetsskogar har slagit ut flera kända förekomster. Flygningen startar tidigt på våren och ofta flyger fjärilen när det fortfarande ligger kvar snöfläckar på marken. Avverkning utgör det största hotet och skogsbestånd med kända förekomster av arten bör undantas från kalavverkning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