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295-2025 i Ljusnarsbergs kommun</w:t>
      </w:r>
    </w:p>
    <w:p>
      <w:r>
        <w:t>Denna tillsynsbegäran behandlar höga naturvärden i samrådsanmälan S 295-2025 i Ljusnarsbergs kommun som inkom 2025-01-30 och omfattar 191,2 ha.</w:t>
      </w:r>
    </w:p>
    <w:p>
      <w:pPr>
        <w:pStyle w:val="Caption"/>
      </w:pPr>
      <w:r>
        <w:drawing>
          <wp:inline xmlns:a="http://schemas.openxmlformats.org/drawingml/2006/main" xmlns:pic="http://schemas.openxmlformats.org/drawingml/2006/picture">
            <wp:extent cx="4469047" cy="5724000"/>
            <wp:docPr id="1" name="Picture 1"/>
            <wp:cNvGraphicFramePr>
              <a:graphicFrameLocks noChangeAspect="1"/>
            </wp:cNvGraphicFramePr>
            <a:graphic>
              <a:graphicData uri="http://schemas.openxmlformats.org/drawingml/2006/picture">
                <pic:pic>
                  <pic:nvPicPr>
                    <pic:cNvPr id="0" name="S 295-2025 karta.png"/>
                    <pic:cNvPicPr/>
                  </pic:nvPicPr>
                  <pic:blipFill>
                    <a:blip r:embed="rId16"/>
                    <a:stretch>
                      <a:fillRect/>
                    </a:stretch>
                  </pic:blipFill>
                  <pic:spPr>
                    <a:xfrm>
                      <a:off x="0" y="0"/>
                      <a:ext cx="4469047" cy="5724000"/>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6652418, E 490918 i SWEREF 99 TM.</w:t>
      </w:r>
    </w:p>
    <w:p>
      <w:r>
        <w:t>Inom 15 meter från samrådsanmälan finns fynd av 7 naturvårdsarter, varav 3 är rödlistade, 3 är fridlysta och 2 är signalarter (S): gråbrun ängsfingersvamp (NT), rosenfingersvamp (NT), stornopping (NT), tvåblad (S, §8), ängsfingersvamp (S),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Gråbrun ängsfingersvamp (NT) </w:t>
      </w:r>
      <w:r>
        <w:t>växer i naturliga gräsmarker, främst kalkrika, i såväl slåtter- som naturbetesmark. Den förekommer även i mer eller mindre sluten ädellövskog på kalkhaltig mulljord, då ofta på ytor med naken jord och uttunnat fältskikt. Skogsmiljöer av den typ arten trivs i har ofta ett stort skyddsvärde och eventuellt skogsbruk på dessa platser bör bedrivas skonsamt (SLU Artdatabanken, 2024).</w:t>
      </w:r>
    </w:p>
    <w:p>
      <w:r>
        <w:rPr>
          <w:b/>
        </w:rPr>
        <w:t xml:space="preserve">Rosenfingersvamp (NT) </w:t>
      </w:r>
      <w:r>
        <w:t>växer på kalkhaltig, gärna sandig gräsmark. Några växtplatser är längs vägkanter med lågvuxen vegetation och stort inslag av mossor. Arten förekommer även i rik löv- och blandskog. Förekomster i skogsmiljö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