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45845-2024 i Ljusnarsbergs kommun</w:t>
      </w:r>
    </w:p>
    <w:p>
      <w:r>
        <w:t>Detta dokument behandlar höga naturvärden i avverkningsanmälan A 45845-2024 i Ljusnarsbergs kommun. Denna avverkningsanmälan inkom 2024-10-15 och omfattar 19,1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bollvitmossa (S)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1525"/>
            <wp:docPr id="1" name="Picture 1"/>
            <wp:cNvGraphicFramePr>
              <a:graphicFrameLocks noChangeAspect="1"/>
            </wp:cNvGraphicFramePr>
            <a:graphic>
              <a:graphicData uri="http://schemas.openxmlformats.org/drawingml/2006/picture">
                <pic:pic>
                  <pic:nvPicPr>
                    <pic:cNvPr id="0" name="A 45845-2024 karta.png"/>
                    <pic:cNvPicPr/>
                  </pic:nvPicPr>
                  <pic:blipFill>
                    <a:blip r:embed="rId16"/>
                    <a:stretch>
                      <a:fillRect/>
                    </a:stretch>
                  </pic:blipFill>
                  <pic:spPr>
                    <a:xfrm>
                      <a:off x="0" y="0"/>
                      <a:ext cx="5486400" cy="6351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6630254, E 501632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