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och inom 22 meter från avverkningsanmälan finns fynd av 18 naturvårdsarter, varav 7 är rödlistade, 14 är fridlysta, 3 är typiska (T) och 3 är signalarter (S): björktrast (NT, §4), brunlångöra (NT, §4a), grönsångare (NT, §4), gulsparv (NT, §4),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