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6580908, E 499283 i SWEREF 99 TM.</w:t>
      </w:r>
    </w:p>
    <w:p>
      <w:r>
        <w:t>I och inom 25 meter från samrådsanmälan finns fynd av 56 naturvårdsarter, varav 31 är rödlistade, 4 är fridlysta, 26 är typiska (T) och 10 är signalarter (S): ask (EN),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flikbålmossa (NT), fyrflikig jordstjärna (NT, T), gultoppig fingersvamp (NT), kryddspindling (NT, T), loppstarr (NT), mjölsvärting (NT), orange taggsvamp (NT, T), persiljespindling (NT), rödfläckig zontaggsvamp (NT), skarp dropptaggsvamp (NT), slåtterfibbla (NT, T), svart taggsvamp (NT), svartvit taggsvamp (NT), tjockfotad fingersvamp (NT), blåmossa (S, T), bronshjon (S, T), gulnande spindling (S), kantarellvaxing (S), olivspindling (S), rödgul trumpetsvamp (S), rökmusseron (S), stor revmossa (S), svart trolldruva (S, T), svavelriska (S), blåbär (T), blåsippa (T, §9), ekbräken (T), ekorrbär (T), glansfläck (T), hultbräken (T), kransmossa (T), kärrfibbla (T), liljekonvalj (T), skogsstjärna (T), svart taggsvamp agg. (T), tjäder (T, §4), vitsippa (T),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Svart taggsvamp (NT)</w:t>
      </w:r>
      <w:r>
        <w:t xml:space="preserve"> bildar mykorrhiza med tall, möjligen även med gran, i barrskog på kalkrik eller annan basiskt påverkad mark. Den totala populationen i landet har minskat och bedöms fortsätta minska till följd av avverkning av kalkbarrskogar. Arten har begränsad förmåga att återetablera sig efter slutavverkning eller andra storskaliga skogsbruksåtgärder. Det finns inga indikationer på att arten långsiktigt kan etablera eller reproducera sig i skogsbestånd som brukas med trakthyggesmetoder, markberedning, gödsling eller föryngring med förädlat plantmaterial. Minskningstakten uppgår till 25 (15–50) % inom 50 år och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56 naturvårdsarter varav 31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