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21670-2022 i Örebro kommun</w:t>
      </w:r>
    </w:p>
    <w:p>
      <w:r>
        <w:t>Detta klagomål behandlar höga naturvärden i avverkningsanmälan A 21670-2022 i Örebro kommun som inkom 2022-05-26 och omfattar 8,2 ha.</w:t>
      </w:r>
    </w:p>
    <w:p>
      <w:pPr>
        <w:pStyle w:val="Caption"/>
      </w:pPr>
      <w:r>
        <w:drawing>
          <wp:inline xmlns:a="http://schemas.openxmlformats.org/drawingml/2006/main" xmlns:pic="http://schemas.openxmlformats.org/drawingml/2006/picture">
            <wp:extent cx="4650151" cy="5724000"/>
            <wp:docPr id="1" name="Picture 1"/>
            <wp:cNvGraphicFramePr>
              <a:graphicFrameLocks noChangeAspect="1"/>
            </wp:cNvGraphicFramePr>
            <a:graphic>
              <a:graphicData uri="http://schemas.openxmlformats.org/drawingml/2006/picture">
                <pic:pic>
                  <pic:nvPicPr>
                    <pic:cNvPr id="0" name="A 21670-2022 karta.png"/>
                    <pic:cNvPicPr/>
                  </pic:nvPicPr>
                  <pic:blipFill>
                    <a:blip r:embed="rId16"/>
                    <a:stretch>
                      <a:fillRect/>
                    </a:stretch>
                  </pic:blipFill>
                  <pic:spPr>
                    <a:xfrm>
                      <a:off x="0" y="0"/>
                      <a:ext cx="465015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6574883, E 496471 i SWEREF 99 TM.</w:t>
      </w:r>
    </w:p>
    <w:p>
      <w:r>
        <w:t>I och inom 25 meter från avverkningsanmälan finns fynd av 67 naturvårdsarter, varav 34 är rödlistade, 15 är fridlysta, 28 är typiska (T) och 25 är signalarter (S): ask (EN), koppartaggsvamp (EN), raggtaggsvamp (EN), skogsalm (EN), spricktaggsvamp (EN), violgubbe (EN), garnlav (VU, T), grangråticka (VU, T), gränsticka (VU, T), gul taggsvamp (VU, T), knärot (VU, T, §8), porslinsblå spindling (VU, T), svartfjällig musseron (VU), barrviolspindling (NT), entita (NT, T, §4), fjällig taggsvamp s.str. (NT), flattoppad klubbsvamp (NT), fransfladdermus (NT, §4a), grönhjon (NT), grönsångare (NT, §4), gultoppig fingersvamp (NT), kortskaftad ärgspik (NT), kryddspindling (NT, T), motaggsvamp (NT, T), nordfladdermus (NT, §4a), nötkråka (NT, T, §4), orange taggsvamp (NT, T), puderspindling (NT), scharlakansvaxing (NT), skarp dropptaggsvamp (NT), tallticka (NT, T), tjockfotad fingersvamp (NT), ullticka (NT, T), vedskivlav (NT, T), blodvaxing (S), blomkålssvamp (S), blåmossa (S, T), bronshjon (S, T), diskvaxskivling (S), grovticka (S, T), guldkremla (S), guldlockmossa (S, T), hagfingersvamp (S), hasselsopp (S), honungsvaxing (S), klippfrullania (S, T), mörk husmossa (S, T), platt fjädermossa (S, T), purpurknipprot (S, §8), rävticka (S, T), rödgul trumpetsvamp (S), rökmusseron (S), sotriska (S), stubbspretmossa (S, T), svavelriska (S), toppvaxing (S), trådticka (S, T), vedticka (S, T), zontaggsvamp (S), blåsippa (T, §9), spillkråka (T, §4), tallbit (T, §4), dvärgpipistrell (§4a), gröngöling (§4), kungsfågel (§4), svartvit flugsnappare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2.25 ha med buffertzonerna och får av detta skäl inte avverkas.</w:t>
      </w:r>
    </w:p>
    <w:p>
      <w:pPr>
        <w:pStyle w:val="Caption"/>
      </w:pPr>
      <w:r>
        <w:drawing>
          <wp:inline xmlns:a="http://schemas.openxmlformats.org/drawingml/2006/main" xmlns:pic="http://schemas.openxmlformats.org/drawingml/2006/picture">
            <wp:extent cx="5486400" cy="4357069"/>
            <wp:docPr id="2" name="Picture 2"/>
            <wp:cNvGraphicFramePr>
              <a:graphicFrameLocks noChangeAspect="1"/>
            </wp:cNvGraphicFramePr>
            <a:graphic>
              <a:graphicData uri="http://schemas.openxmlformats.org/drawingml/2006/picture">
                <pic:pic>
                  <pic:nvPicPr>
                    <pic:cNvPr id="0" name="A 21670-2022 karta knärot.png"/>
                    <pic:cNvPicPr/>
                  </pic:nvPicPr>
                  <pic:blipFill>
                    <a:blip r:embed="rId17"/>
                    <a:stretch>
                      <a:fillRect/>
                    </a:stretch>
                  </pic:blipFill>
                  <pic:spPr>
                    <a:xfrm>
                      <a:off x="0" y="0"/>
                      <a:ext cx="5486400" cy="43570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6574883, E 496471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67 naturvårdsarter varav 34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