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3549-2025 i Örebro kommun</w:t>
      </w:r>
    </w:p>
    <w:p>
      <w:r>
        <w:t>Denna tillsynsbegäran behandlar höga naturvärden i samrådsanmälan S 3549-2025 i Örebro kommun som inkom 2025-12-19 och omfattar 1,4 ha.</w:t>
      </w:r>
    </w:p>
    <w:p>
      <w:pPr>
        <w:pStyle w:val="Caption"/>
      </w:pPr>
      <w:r>
        <w:drawing>
          <wp:inline xmlns:a="http://schemas.openxmlformats.org/drawingml/2006/main" xmlns:pic="http://schemas.openxmlformats.org/drawingml/2006/picture">
            <wp:extent cx="5486400" cy="3621778"/>
            <wp:docPr id="1" name="Picture 1"/>
            <wp:cNvGraphicFramePr>
              <a:graphicFrameLocks noChangeAspect="1"/>
            </wp:cNvGraphicFramePr>
            <a:graphic>
              <a:graphicData uri="http://schemas.openxmlformats.org/drawingml/2006/picture">
                <pic:pic>
                  <pic:nvPicPr>
                    <pic:cNvPr id="0" name="S 3549-2025 karta.png"/>
                    <pic:cNvPicPr/>
                  </pic:nvPicPr>
                  <pic:blipFill>
                    <a:blip r:embed="rId16"/>
                    <a:stretch>
                      <a:fillRect/>
                    </a:stretch>
                  </pic:blipFill>
                  <pic:spPr>
                    <a:xfrm>
                      <a:off x="0" y="0"/>
                      <a:ext cx="5486400" cy="3621778"/>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6581416, E 500193 i SWEREF 99 TM.</w:t>
      </w:r>
    </w:p>
    <w:p>
      <w:r>
        <w:t>I och inom 22 meter från samrådsanmälan finns fynd av 5 naturvårdsarter, varav 3 är rödlistade, 2 är fridlysta, 4 är typiska (T) och 1 är signalart (S): koralltaggsvamp (NT, T), mindre hackspett (NT, T, §4), vit vedfingersvamp (NT), tibast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Koralltaggsvamp (NT)</w:t>
      </w:r>
      <w:r>
        <w:t xml:space="preserve"> är i hela landet en mycket bra signalart som nästan enbart påträffas i skogsområden med höga naturvärden. Arten hotas av brist på död ved. Ingrepp som innebär att lågor och döda eller skadade träd tas bort missgynnar arten. En slutavverkning, skoglig gallring eller annat uttag av virke på växtplatsen som ger ett förändrat lokalklimat innebär ett direkt hot liksom överföring av lövskog till barrskog. Koralltaggsvamp är typisk art för </w:t>
      </w:r>
      <w:r>
        <w:rPr>
          <w:i/>
        </w:rPr>
        <w:t>9010 Taiga, 9050 Näringsrik granskog</w:t>
      </w:r>
      <w:r>
        <w:t xml:space="preserve"> och</w:t>
      </w:r>
      <w:r>
        <w:rPr>
          <w:i/>
        </w:rPr>
        <w:t xml:space="preserve"> 9030 Landhöjningsskog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Vit vedfingersvamp (NT)</w:t>
      </w:r>
      <w:r>
        <w:t xml:space="preserve"> växer på murken lövved, främst grova och barklösa asplågor. Svampen indikerar sena aspsuccessioner inom områden med konstant hög luftfuktighet. Raviner, bergrötter och liknande platser med skuggiga förhållanden och fuktig mark med ett stort inslag av lövträd är exempel på biotoper där vit vedfingersvamp ofta växer och dessa bör undantas från skogsbruk (SLU Artdatabanken, 2024;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