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3548-2025 i Örebro kommun</w:t>
      </w:r>
    </w:p>
    <w:p>
      <w:r>
        <w:t>Denna tillsynsbegäran behandlar höga naturvärden i samrådsanmälan S 3548-2025 i Örebro kommun som inkom 2025-12-19 och omfattar 9,1 ha.</w:t>
      </w:r>
    </w:p>
    <w:p>
      <w:pPr>
        <w:pStyle w:val="Caption"/>
      </w:pPr>
      <w:r>
        <w:drawing>
          <wp:inline xmlns:a="http://schemas.openxmlformats.org/drawingml/2006/main" xmlns:pic="http://schemas.openxmlformats.org/drawingml/2006/picture">
            <wp:extent cx="5306416" cy="5724000"/>
            <wp:docPr id="1" name="Picture 1"/>
            <wp:cNvGraphicFramePr>
              <a:graphicFrameLocks noChangeAspect="1"/>
            </wp:cNvGraphicFramePr>
            <a:graphic>
              <a:graphicData uri="http://schemas.openxmlformats.org/drawingml/2006/picture">
                <pic:pic>
                  <pic:nvPicPr>
                    <pic:cNvPr id="0" name="S 3548-2025 karta.png"/>
                    <pic:cNvPicPr/>
                  </pic:nvPicPr>
                  <pic:blipFill>
                    <a:blip r:embed="rId16"/>
                    <a:stretch>
                      <a:fillRect/>
                    </a:stretch>
                  </pic:blipFill>
                  <pic:spPr>
                    <a:xfrm>
                      <a:off x="0" y="0"/>
                      <a:ext cx="5306416"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6580908, E 499283 i SWEREF 99 TM.</w:t>
      </w:r>
    </w:p>
    <w:p>
      <w:r>
        <w:t>I och inom 25 meter från samrådsanmälan finns fynd av 56 naturvårdsarter, varav 31 är rödlistade, 4 är fridlysta, 26 är typiska (T) och 10 är signalarter (S): ask (EN), bitter taggsvamp (EN), hedkoppmossa (EN), raggtaggsvamp (EN), spricktaggsvamp (EN), violgubbe (EN), fläckfingersvamp (VU), grangråticka (VU, T), gul taggsvamp (VU, T), porslinsblå spindling (VU, T), stor odörspindling (VU), blek fingersvamp (NT), dofttaggsvamp (NT, T), dropptaggsvamp (NT, T), dunmossa (NT, T), fjällig taggsvamp s.str. (NT), flattoppad klubbsvamp (NT), flikbålmossa (NT), fyrflikig jordstjärna (NT, T), gultoppig fingersvamp (NT), kryddspindling (NT, T), loppstarr (NT), mjölsvärting (NT), orange taggsvamp (NT, T), persiljespindling (NT), rödfläckig zontaggsvamp (NT), skarp dropptaggsvamp (NT), slåtterfibbla (NT, T), svart taggsvamp (NT), svartvit taggsvamp (NT), tjockfotad fingersvamp (NT), blåmossa (S, T), bronshjon (S, T), gulnande spindling (S), kantarellvaxing (S), olivspindling (S), rödgul trumpetsvamp (S), rökmusseron (S), stor revmossa (S), svart trolldruva (S, T), svavelriska (S), blåbär (T), blåsippa (T, §9), ekbräken (T), ekorrbär (T), glansfläck (T), hultbräken (T), kransmossa (T), kärrfibbla (T), liljekonvalj (T), skogsstjärna (T), svart taggsvamp agg. (T), tjäder (T, §4), vitsippa (T), hasselmus (§4a)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002621"/>
            <wp:docPr id="2" name="Picture 2"/>
            <wp:cNvGraphicFramePr>
              <a:graphicFrameLocks noChangeAspect="1"/>
            </wp:cNvGraphicFramePr>
            <a:graphic>
              <a:graphicData uri="http://schemas.openxmlformats.org/drawingml/2006/picture">
                <pic:pic>
                  <pic:nvPicPr>
                    <pic:cNvPr id="0" name="S 3548-2025 karta knärot.png"/>
                    <pic:cNvPicPr/>
                  </pic:nvPicPr>
                  <pic:blipFill>
                    <a:blip r:embed="rId17"/>
                    <a:stretch>
                      <a:fillRect/>
                    </a:stretch>
                  </pic:blipFill>
                  <pic:spPr>
                    <a:xfrm>
                      <a:off x="0" y="0"/>
                      <a:ext cx="5486400" cy="400262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6580908, E 499283 i SWEREF 99 TM.</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Gulnande spindling</w:t>
      </w:r>
      <w:r>
        <w:t xml:space="preserve"> signalerar gammal hedekskog och hedbokskog med höga naturvärden i sydvästra Sverige. Arten har en starkt begränsad utbredning som gör att den främst är användbar som signalart i nordvästra Götaland. Den signalerar här också höga naturvärden i äldre naturlig granskog som ligger inom ett smalt bälte i anslutning till granens spontana västgräns. Arten är knuten till humida löv- och barrskogar vilka troligen har lång trädkontinuitet och den tål inte slutavverkning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grangråticka (VU, T), gul taggsvamp (VU, T), porslinsblå spindling (VU, T), dofttaggsvamp (NT, T), dropptaggsvamp (NT, T), dunmossa (NT, T), fyrflikig jordstjärna (NT, T), kryddspindling (NT, T), orange taggsvamp (NT, T), slåtterfibbla (NT, T), blåmossa (S, T), bronshjon (S, T), svart trolldruva (S, T), blåbär (T), blåsippa (T, §9), ekbräken (T), ekorrbär (T), glansfläck (T), hultbräken (T), kransmossa (T), kärrfibbla (T), liljekonvalj (T), skogsstjärna (T), svart taggsvamp agg. (T), tjäder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