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3338-2025 i Örebro kommun</w:t>
      </w:r>
    </w:p>
    <w:p>
      <w:r>
        <w:t>Denna tillsynsbegäran behandlar höga naturvärden i samrådsanmälan S 3338-2025 i Örebro kommun som inkom 2025-11-28 och omfattar 3,7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S 3338-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6580989, E 499609 i SWEREF 99 TM.</w:t>
      </w:r>
    </w:p>
    <w:p>
      <w:r>
        <w:t>I och inom 25 meter från samrådsanmälan finns fynd av 17 naturvårdsarter, varav 7 är rödlistade, 3 är fridlysta, 8 är typiska (T) och 4 är signalarter (S): ask (EN), bitter taggsvamp (EN), gul taggsvamp (VU, T), kopparspindling (VU), porslinsblå spindling (VU, T), loppstarr (NT), orange taggsvamp (NT, T), gräsull (S), källmossa (S), rödgul trumpetsvamp (S), stubbspretmossa (S, T), bergsslok (T), blåsippa (T, §9), brudborste (T), hultbräken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Bitter taggsvamp (EN) </w:t>
      </w:r>
      <w:r>
        <w:t>är en sällsynt och starkt hotad ”toppart” som bildar mykorrhiza med gran, möjligen även med tall, i äldre barrskogar med lång kontinuitet. Förekommer på kalkrik eller annan basiskt påverkad mark, främst i miljöer med hög luftfuktighet. Svampen har i friskt tillstånd en säregen doft av bittermandelolja och fruktköttet är mycket bittert i smaken. Arten hotas främst av avverkning och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skyddas formellt. Bitter taggsvamp ingår i ett åtgärdsprogram för hotade arter (ÅGP) och är placerad högst upp i Skogsstyrelsens värdepyramid för bedömning av skog med höga naturvärden (SLU Artdatabanken, 2026; Nitare &amp; Skogsstyrelsen, 2019; Nitare 2006).</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Porslinsblå spindling (VU)</w:t>
      </w:r>
      <w:r>
        <w:t xml:space="preserve"> är en mycket bra signalart på skyddsvärda kalkgranskogar där det föreligger långvarig grankontinuitet. Andelen äldre näringsrik granskog minskar i södra Sverige och därför fortsätter arten att minska. Det främsta hotet mot porslinsblå spindling är avverkning av de värdträd som den är helt beroende av. Den är placerad högst upp i Skogsstyrelsens värdepyramid för bedömning av skog med höga naturvärden och äldre granskogar där arten växer bör i möjligaste mån undantas från avverkning. Porslinsblå spindling är typisk art för </w:t>
      </w:r>
      <w:r>
        <w:rPr>
          <w:i/>
        </w:rPr>
        <w:t>9050 Näringsrik granskog</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Bergsslok </w:t>
      </w:r>
      <w:r>
        <w:t xml:space="preserve">är typisk art för </w:t>
      </w:r>
      <w:r>
        <w:rPr>
          <w:i/>
        </w:rPr>
        <w:t>9190 Näringsfattig ekskog</w:t>
      </w:r>
      <w:r>
        <w:t xml:space="preserv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Hultbräken </w:t>
      </w:r>
      <w:r>
        <w:t xml:space="preserve">är typisk art för </w:t>
      </w:r>
      <w:r>
        <w:rPr>
          <w:i/>
        </w:rPr>
        <w:t xml:space="preserve">9050 Näringsrik granskog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gul taggsvamp (VU, T), porslinsblå spindling (VU, T), orange taggsvamp (NT, T), stubbspretmossa (S, T), bergsslok (T), blåsippa (T, §9), brudborste (T) och hultbräken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