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2998-2026 i Örebro kommun</w:t>
      </w:r>
    </w:p>
    <w:p>
      <w:r>
        <w:t>Denna tillsynsbegäran behandlar höga naturvärden i avverkningsanmälan A 2998-2026 i Örebro kommun som inkom 2026-01-16 och omfattar 6,4 ha.</w:t>
      </w:r>
    </w:p>
    <w:p>
      <w:pPr>
        <w:pStyle w:val="Caption"/>
      </w:pPr>
      <w:r>
        <w:drawing>
          <wp:inline xmlns:a="http://schemas.openxmlformats.org/drawingml/2006/main" xmlns:pic="http://schemas.openxmlformats.org/drawingml/2006/picture">
            <wp:extent cx="5486400" cy="5710758"/>
            <wp:docPr id="1" name="Picture 1"/>
            <wp:cNvGraphicFramePr>
              <a:graphicFrameLocks noChangeAspect="1"/>
            </wp:cNvGraphicFramePr>
            <a:graphic>
              <a:graphicData uri="http://schemas.openxmlformats.org/drawingml/2006/picture">
                <pic:pic>
                  <pic:nvPicPr>
                    <pic:cNvPr id="0" name="A 2998-2026 karta.png"/>
                    <pic:cNvPicPr/>
                  </pic:nvPicPr>
                  <pic:blipFill>
                    <a:blip r:embed="rId16"/>
                    <a:stretch>
                      <a:fillRect/>
                    </a:stretch>
                  </pic:blipFill>
                  <pic:spPr>
                    <a:xfrm>
                      <a:off x="0" y="0"/>
                      <a:ext cx="5486400" cy="571075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6545976, E 533094 i SWEREF 99 TM.</w:t>
      </w:r>
    </w:p>
    <w:p>
      <w:r>
        <w:t>I avverkningsanmälan finns fynd av 2 naturvårdsarter, varav 1 är rödlistad och 2 är fridlysta: grönsångare (NT, §4) och kungsfågel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Grönsångare (NT, §4)</w:t>
      </w:r>
      <w:r>
        <w:t xml:space="preserve"> är rödlistad som nära hotad (NT) och fridlyst enligt 4§ artskyddsförordningen. Den har minskat med 17 (6–24) % under de senaste 10 åren och minskningstakten för den svenska populationen bedöms vara nära gränsvärdet för Sårbar (VU). (A2b). Arten häckar i högstammig skog, främst lövskog men även i granskog, i regel utan kraftigare undervegetation. Den förekommer i södra och mellersta Sverige samt i Norrlands kustland norrut till Norrbotten. Förekommer dessutom sällsynt i Norrlands inland (SLU Artdatabanken, 2024). Orsaken till grönsångarens nedgång och är oklar varvid det är viktigt att försiktighetsprincipen enligt 2 kap. 3 § miljöbalken tillämpas för att bevara artens livsmiljöer och vända den negativa trenden.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