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2129-2026 i Örebro kommun</w:t>
      </w:r>
    </w:p>
    <w:p>
      <w:r>
        <w:t>Denna tillsynsbegäran behandlar höga naturvärden i samrådsanmälan S 2129-2026 i Örebro kommun som inkom 2026-08-10 och omfattar 2,0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212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6579785, E 515048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990778"/>
            <wp:docPr id="2" name="Picture 2"/>
            <wp:cNvGraphicFramePr>
              <a:graphicFrameLocks noChangeAspect="1"/>
            </wp:cNvGraphicFramePr>
            <a:graphic>
              <a:graphicData uri="http://schemas.openxmlformats.org/drawingml/2006/picture">
                <pic:pic>
                  <pic:nvPicPr>
                    <pic:cNvPr id="0" name="S 2129-2026 karta knärot.png"/>
                    <pic:cNvPicPr/>
                  </pic:nvPicPr>
                  <pic:blipFill>
                    <a:blip r:embed="rId17"/>
                    <a:stretch>
                      <a:fillRect/>
                    </a:stretch>
                  </pic:blipFill>
                  <pic:spPr>
                    <a:xfrm>
                      <a:off x="0" y="0"/>
                      <a:ext cx="5486400" cy="59907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6579785, E 515048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