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3550-2025 i Örebro kommun</w:t>
      </w:r>
    </w:p>
    <w:p>
      <w:r>
        <w:t>Denna tillsynsbegäran behandlar höga naturvärden i samrådsanmälan S 3550-2025 i Örebro kommun som inkom 2025-12-19 och omfattar 0,9 ha.</w:t>
      </w:r>
    </w:p>
    <w:p>
      <w:pPr>
        <w:pStyle w:val="Caption"/>
      </w:pPr>
      <w:r>
        <w:drawing>
          <wp:inline xmlns:a="http://schemas.openxmlformats.org/drawingml/2006/main" xmlns:pic="http://schemas.openxmlformats.org/drawingml/2006/picture">
            <wp:extent cx="5376643" cy="5724000"/>
            <wp:docPr id="1" name="Picture 1"/>
            <wp:cNvGraphicFramePr>
              <a:graphicFrameLocks noChangeAspect="1"/>
            </wp:cNvGraphicFramePr>
            <a:graphic>
              <a:graphicData uri="http://schemas.openxmlformats.org/drawingml/2006/picture">
                <pic:pic>
                  <pic:nvPicPr>
                    <pic:cNvPr id="0" name="S 3550-2025 karta.png"/>
                    <pic:cNvPicPr/>
                  </pic:nvPicPr>
                  <pic:blipFill>
                    <a:blip r:embed="rId16"/>
                    <a:stretch>
                      <a:fillRect/>
                    </a:stretch>
                  </pic:blipFill>
                  <pic:spPr>
                    <a:xfrm>
                      <a:off x="0" y="0"/>
                      <a:ext cx="5376643"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6581485, E 499896 i SWEREF 99 TM.</w:t>
      </w:r>
    </w:p>
    <w:p>
      <w:r>
        <w:t>I och inom 19 meter från samrådsanmälan finns fynd av 4 naturvårdsarter, varav 2 är rödlistade, 1 är fridlyst, 1 är typisk (T) och 1 är signalart (S): dofttaggsvamp (NT, T), grantaggsvamp (NT), svavelriska (S)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