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21670-2022 i Örebro kommun</w:t>
      </w:r>
    </w:p>
    <w:p>
      <w:r>
        <w:t>Detta dokument behandlar höga naturvärden i avverkningsanmälan A 21670-2022 i Örebro kommun. Denna avverkningsanmälan inkom 2022-05-26 00:00:00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40 naturvårdsarter hittats: skogsalm (CR), ask (EN), raggtaggsvamp (EN), knärot (VU, §8), porslinsblå spindling (VU), spricktaggsvamp (VU), svartfjällig musseron (VU), tallbit (VU, §4), barrviolspindling (NT), entita (NT, §4), flattoppad klubbsvamp (NT), garnlav (NT), gränsticka (NT), grönhjon (NT), grönsångare (NT, §4), gultoppig fingersvamp (NT), kortskaftad ärgspik (NT), motaggsvamp (NT), scharlakansvaxing (NT), spillkråka (NT, §4), svartvit flugsnappare (NT, §4), tallticka (NT), vedskivlav (NT), blåmossa (S), bronshjon (S), fjällig taggsvamp s.str. (S), grovticka (S), guldkremla (S), hasselsopp (S), kryddspindling (S), mörk husmossa (S), rävticka (S), skarp dropptaggsvamp (S), sotriska (S), svavelriska (S), tjockfotad fingersvamp (S), toppvaxing (S), vedticka (S), zontaggsvamp (S) och vanlig groda (§6). Av dessa är 23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21670-2022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6574883, E 496471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(SLU Artdatabanken, 2024; Nitare &amp; Skogsstyrelsen, 2019).</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Spricktaggsvamp (VU) </w:t>
      </w:r>
      <w:r>
        <w:t>är en sällsynt ”toppart” som indikerar starkt skyddsvärda kalkgranskogar. Den ingår i ett åtgärdsprogram för hotade arter (ÅGP) och är placerad högst upp i Skogsstyrelsens värdepyramid för bedömning av skog med höga naturvärden. Arten hotas främst av avverkning och andra skogsbruksåtgärder och tål inte en slutavverkning utan kräver ett kontinuerligt äldre trädskikt med gran. Skogsområden med spricktaggsvamp bör skyddas och undantas från rationellt skogsbruk (SLU Artdatabanken, 2024; Nitare &amp; Skogsstyrelsen, 2019).</w:t>
      </w:r>
    </w:p>
    <w:p>
      <w:r>
        <w:rPr>
          <w:b/>
        </w:rPr>
        <w:t>Svartfjällig musseron (VU)</w:t>
      </w:r>
      <w:r>
        <w:t xml:space="preserve"> är en sällsynt art som bildar mykorrhiza med gran på kalkrik mark. För att klara arten på sikt bör fler områden med granskog på kalkrik mark skyddas, särskilt i södra Sverige även om de är små. Växtplatser för denna art är alltid skyddsvärda eftersom de vanligen också innehåller många andra rödlistade svampar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tallbit (VU, §4), entita (NT, §4), grönsångare (NT, §4), spillkråka (NT, §4), svartvit flugsnappare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3939427"/>
            <wp:docPr id="2" name="Picture 2"/>
            <wp:cNvGraphicFramePr>
              <a:graphicFrameLocks noChangeAspect="1"/>
            </wp:cNvGraphicFramePr>
            <a:graphic>
              <a:graphicData uri="http://schemas.openxmlformats.org/drawingml/2006/picture">
                <pic:pic>
                  <pic:nvPicPr>
                    <pic:cNvPr id="0" name="A 21670-2022 karta knärot.png"/>
                    <pic:cNvPicPr/>
                  </pic:nvPicPr>
                  <pic:blipFill>
                    <a:blip r:embed="rId17"/>
                    <a:stretch>
                      <a:fillRect/>
                    </a:stretch>
                  </pic:blipFill>
                  <pic:spPr>
                    <a:xfrm>
                      <a:off x="0" y="0"/>
                      <a:ext cx="5486400" cy="3939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6574883, E 496471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39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40 naturvårdsarter varav 23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