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59517-2025 i Örebro kommun</w:t>
      </w:r>
    </w:p>
    <w:p>
      <w:r>
        <w:t>Denna tillsynsbegäran behandlar höga naturvärden i avverkningsanmälan A 59517-2025 i Örebro kommun som inkom 2025-11-28 och omfattar 3,7 ha.</w:t>
      </w:r>
    </w:p>
    <w:p>
      <w:pPr>
        <w:pStyle w:val="Caption"/>
      </w:pPr>
      <w:r>
        <w:drawing>
          <wp:inline xmlns:a="http://schemas.openxmlformats.org/drawingml/2006/main" xmlns:pic="http://schemas.openxmlformats.org/drawingml/2006/picture">
            <wp:extent cx="5486400" cy="5199825"/>
            <wp:docPr id="1" name="Picture 1"/>
            <wp:cNvGraphicFramePr>
              <a:graphicFrameLocks noChangeAspect="1"/>
            </wp:cNvGraphicFramePr>
            <a:graphic>
              <a:graphicData uri="http://schemas.openxmlformats.org/drawingml/2006/picture">
                <pic:pic>
                  <pic:nvPicPr>
                    <pic:cNvPr id="0" name="A 59517-2025 karta.png"/>
                    <pic:cNvPicPr/>
                  </pic:nvPicPr>
                  <pic:blipFill>
                    <a:blip r:embed="rId16"/>
                    <a:stretch>
                      <a:fillRect/>
                    </a:stretch>
                  </pic:blipFill>
                  <pic:spPr>
                    <a:xfrm>
                      <a:off x="0" y="0"/>
                      <a:ext cx="5486400" cy="519982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6580989, E 499609 i SWEREF 99 TM.</w:t>
      </w:r>
    </w:p>
    <w:p>
      <w:r>
        <w:t>I och inom 25 meter från avverkningsanmälan finns fynd av 17 naturvårdsarter, varav 7 är rödlistade, 3 är fridlysta, 8 är typiska (T) och 4 är signalarter (S): ask (EN), bitter taggsvamp (EN), gul taggsvamp (VU, T), kopparspindling (VU), porslinsblå spindling (VU, T), loppstarr (NT), orange taggsvamp (NT, T), gräsull (S), källmossa (S), rödgul trumpetsvamp (S), stubbspretmossa (S, T), bergsslok (T), blåsippa (T, §9), brudborste (T), hultbräken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 xml:space="preserve">Kopparspindling (VU) </w:t>
      </w:r>
      <w:r>
        <w:t>bildar mykorrhiza med tall och gran i äldre ängsgranskog på kalkrik mark, mer sällan i ren kalktallskog.</w:t>
      </w:r>
      <w:r>
        <w:rPr>
          <w:b/>
        </w:rPr>
        <w:t xml:space="preserve"> </w:t>
      </w:r>
      <w:r>
        <w:t>Minskningstakten uppgår till 30 % inom 50 år och överstiger gränsvärdet för Sårbar (VU) enligt A-kriteriet. (A2c+3c+4c).</w:t>
      </w:r>
      <w:r>
        <w:rPr>
          <w:b/>
        </w:rPr>
        <w:t xml:space="preserve"> </w:t>
      </w:r>
      <w:r>
        <w:t>Intensivt skogsbruk, särskilt kalavverkning och markberedning missgynnar arten och lokaler som även hyser ett stort antal andra hotade arter bör helt undantas från skogsbruk.</w:t>
      </w:r>
      <w:r>
        <w:rPr>
          <w:b/>
        </w:rPr>
        <w:t xml:space="preserve"> </w:t>
      </w:r>
      <w:r>
        <w:t>Kopparspindling är globalt rödlistad som nära hotad (NT) vilket innebär att Sverige har ett internationellt ansvar för arten (SLU Artdatabanken, 2024; IUCN, 2015).</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Porslinsblå spindling är typisk art för </w:t>
      </w:r>
      <w:r>
        <w:rPr>
          <w:i/>
        </w:rPr>
        <w:t>9050 Näringsrik granskog</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Bergsslok </w:t>
      </w:r>
      <w:r>
        <w:t xml:space="preserve">är typisk art för </w:t>
      </w:r>
      <w:r>
        <w:rPr>
          <w:i/>
        </w:rPr>
        <w:t>9190 Näringsfattig ekskog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Brudborste</w:t>
      </w:r>
      <w:r>
        <w:t xml:space="preserve"> är typisk art för </w:t>
      </w:r>
      <w:r>
        <w:rPr>
          <w:i/>
        </w:rPr>
        <w:t xml:space="preserve">9050 Näringsrik granskog, 9040 Fjällbjörkskog, 6530 Lövängar, 6430 Högörtängar </w:t>
      </w:r>
      <w:r>
        <w:t xml:space="preserve">och </w:t>
      </w:r>
      <w:r>
        <w:rPr>
          <w:i/>
        </w:rPr>
        <w:t>6510 Slåtterängar i låglandet</w:t>
      </w:r>
      <w:r>
        <w:t xml:space="preserve"> (SLU Artdatabanken, 2025).</w:t>
      </w:r>
    </w:p>
    <w:p>
      <w:r>
        <w:rPr>
          <w:b/>
        </w:rPr>
        <w:t xml:space="preserve">Hultbräken </w:t>
      </w:r>
      <w:r>
        <w:t xml:space="preserve">är typisk art för </w:t>
      </w:r>
      <w:r>
        <w:rPr>
          <w:i/>
        </w:rPr>
        <w:t xml:space="preserve">9050 Näringsrik granskog </w:t>
      </w:r>
      <w:r>
        <w:t>(SLU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gul taggsvamp (VU, T), porslinsblå spindling (VU, T), orange taggsvamp (NT, T), stubbspretmossa (S, T), bergsslok (T), blåsippa (T, §9), brudborste (T) och hultbräken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