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som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67 naturvårdsarter hittats: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2"/>
      </w:pPr>
      <w:r>
        <w:t>Fridlysta arter</w:t>
      </w:r>
    </w:p>
    <w:p>
      <w:r>
        <w:t>Följande fridlysta arter har sina livsmiljöer och växtplatser i den avverkningsanmälda skogen: knärot (VU, T, §8), entita (NT, T, §4), fransfladdermus (NT, §4a), grönsångare (NT, §4), nordfladdermus (NT, §4a), nötkråka (NT, T, §4), purpurknipprot (S, §8), blåsippa (T, §9), spillkråka (T, §4), tallbit (T, §4), dvärgpipistrell (§4a), gröngöling (§4), kungsfågel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