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som inkom 2026-03-20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6584000, E 514114 i SWEREF 99 TM.</w:t>
      </w:r>
    </w:p>
    <w:p>
      <w:pPr>
        <w:pStyle w:val="Heading2"/>
      </w:pPr>
      <w:r>
        <w:t>Fridlysta arter</w:t>
      </w:r>
    </w:p>
    <w:p>
      <w:r>
        <w:t>Följande fridlysta arter har sina livsmiljöer och växtplatser i den avverkningsanmälda skogen: brunlångöra (NT, §4a), järnsparv (NT, §4), nordfladdermus (NT, §4a), spillkråka (T, §4), tofsmes (T, §4), dvärgpipistrell (§4a), gråskimlig fladdermus (§4a), gröngöling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