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10992-2025 i Örebro kommun</w:t>
      </w:r>
    </w:p>
    <w:p>
      <w:r>
        <w:t>Detta dokument behandlar höga naturvärden i avverkningsanmälan A 10992-2025 i Örebro kommun. Denna avverkningsanmälan inkom 2025-03-07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entita (NT, §4), mindre träfjäril (NT), spillkråka (NT, §4), tallticka (NT), tretåig hackspett (NT, §4), björksplintborre (S), grönsiska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0411"/>
            <wp:docPr id="1" name="Picture 1"/>
            <wp:cNvGraphicFramePr>
              <a:graphicFrameLocks noChangeAspect="1"/>
            </wp:cNvGraphicFramePr>
            <a:graphic>
              <a:graphicData uri="http://schemas.openxmlformats.org/drawingml/2006/picture">
                <pic:pic>
                  <pic:nvPicPr>
                    <pic:cNvPr id="0" name="A 10992-2025 karta.png"/>
                    <pic:cNvPicPr/>
                  </pic:nvPicPr>
                  <pic:blipFill>
                    <a:blip r:embed="rId16"/>
                    <a:stretch>
                      <a:fillRect/>
                    </a:stretch>
                  </pic:blipFill>
                  <pic:spPr>
                    <a:xfrm>
                      <a:off x="0" y="0"/>
                      <a:ext cx="5486400" cy="7030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6573154, E 505587 i SWEREF 99 TM.</w:t>
      </w:r>
    </w:p>
    <w:p>
      <w:r>
        <w:rPr>
          <w:b/>
        </w:rPr>
        <w:t>Mindre träfjäril (NT)</w:t>
      </w:r>
      <w:r>
        <w:t xml:space="preserve"> förekommer i främst lite torrare klimatzoner på grövre, särskilt utvalda aspar i ljusa blandskogar och skogsridåer med lång kontinuitet av grova aspträd. I gynnsamma miljöer angrips samma träd under en lång följd av år och dessa träd igenkänns lättare på håll genom att larvens skadegörelse förorsakar savning som gynnar en svart alg. Hårt angripna aspar utvecklar kräftliknande symptom och får en ansvällning av det angripna stampartiet. Det runda kläckhålet är centimeterstort med en puppgång som sträcker sig 20 cm in i trädet. Beroendet av kontinuitet, stora träd och ej sluten skog gör att arten missgynnas i rationellt brukade skogsområden. Eftersom habitatet är kontinuitetsbestånd av äldre grova aspar är artens livsmiljöer idag fragmenterade. Skogsbruket avverkar åtskilliga aspar som är lämpliga eller kan bli det framöver och solitärer som sparas blåser ofta omkull efter några år och blir obrukbara för fjärilen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entita (NT, §4), spillkråka (NT, §4), tretåig hackspett (NT, §4), grönsiska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9805676"/>
            <wp:docPr id="2" name="Picture 2"/>
            <wp:cNvGraphicFramePr>
              <a:graphicFrameLocks noChangeAspect="1"/>
            </wp:cNvGraphicFramePr>
            <a:graphic>
              <a:graphicData uri="http://schemas.openxmlformats.org/drawingml/2006/picture">
                <pic:pic>
                  <pic:nvPicPr>
                    <pic:cNvPr id="0" name="A 10992-2025 karta knärot.png"/>
                    <pic:cNvPicPr/>
                  </pic:nvPicPr>
                  <pic:blipFill>
                    <a:blip r:embed="rId17"/>
                    <a:stretch>
                      <a:fillRect/>
                    </a:stretch>
                  </pic:blipFill>
                  <pic:spPr>
                    <a:xfrm>
                      <a:off x="0" y="0"/>
                      <a:ext cx="5486400" cy="98056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6573154, E 505587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